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17BBE" w14:textId="185002E5" w:rsidR="00493B65" w:rsidRPr="005C7597" w:rsidRDefault="00493B65" w:rsidP="00493B65">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Pr>
          <w:rFonts w:ascii="Arial" w:hAnsi="Arial" w:cs="Arial"/>
          <w:b/>
          <w:bCs/>
          <w:sz w:val="24"/>
        </w:rPr>
        <w:t xml:space="preserve"> 97</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R1-190</w:t>
      </w:r>
      <w:r w:rsidR="009611FC">
        <w:rPr>
          <w:rFonts w:ascii="Arial" w:hAnsi="Arial" w:cs="Arial"/>
          <w:b/>
          <w:bCs/>
          <w:sz w:val="24"/>
        </w:rPr>
        <w:t>6978</w:t>
      </w:r>
    </w:p>
    <w:p w14:paraId="76AFFEB5" w14:textId="16A5010B" w:rsidR="00A968BE" w:rsidRPr="005C7597" w:rsidRDefault="00493B65" w:rsidP="00493B65">
      <w:pPr>
        <w:tabs>
          <w:tab w:val="center" w:pos="4536"/>
          <w:tab w:val="right" w:pos="9072"/>
        </w:tabs>
        <w:spacing w:after="0" w:line="276" w:lineRule="auto"/>
        <w:rPr>
          <w:rFonts w:ascii="Arial" w:hAnsi="Arial" w:cs="Arial"/>
          <w:b/>
          <w:bCs/>
          <w:szCs w:val="24"/>
          <w:lang w:val="en-US"/>
        </w:rPr>
      </w:pPr>
      <w:r>
        <w:rPr>
          <w:rFonts w:ascii="Arial" w:eastAsia="MS Mincho" w:hAnsi="Arial" w:cs="Arial"/>
          <w:b/>
          <w:bCs/>
          <w:sz w:val="24"/>
          <w:lang w:eastAsia="ja-JP"/>
        </w:rPr>
        <w:t>Reno, USA</w:t>
      </w:r>
      <w:r w:rsidRPr="005C7597">
        <w:rPr>
          <w:rFonts w:ascii="Arial" w:eastAsia="MS Mincho" w:hAnsi="Arial" w:cs="Arial"/>
          <w:b/>
          <w:bCs/>
          <w:sz w:val="24"/>
          <w:lang w:eastAsia="ja-JP"/>
        </w:rPr>
        <w:t xml:space="preserve">, </w:t>
      </w:r>
      <w:r>
        <w:rPr>
          <w:rFonts w:ascii="Arial" w:eastAsia="MS Mincho" w:hAnsi="Arial" w:cs="Arial"/>
          <w:b/>
          <w:bCs/>
          <w:sz w:val="24"/>
          <w:lang w:eastAsia="ja-JP"/>
        </w:rPr>
        <w:t>13</w:t>
      </w:r>
      <w:r>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w:t>
      </w:r>
      <w:r>
        <w:rPr>
          <w:rFonts w:ascii="Arial" w:eastAsia="MS Mincho" w:hAnsi="Arial" w:cs="Arial"/>
          <w:b/>
          <w:bCs/>
          <w:sz w:val="24"/>
          <w:lang w:eastAsia="ja-JP"/>
        </w:rPr>
        <w:t>– 17</w:t>
      </w:r>
      <w:r w:rsidRPr="00024C10">
        <w:rPr>
          <w:rFonts w:ascii="Arial" w:eastAsia="MS Mincho" w:hAnsi="Arial" w:cs="Arial"/>
          <w:b/>
          <w:bCs/>
          <w:sz w:val="24"/>
          <w:vertAlign w:val="superscript"/>
          <w:lang w:eastAsia="ja-JP"/>
        </w:rPr>
        <w:t>th</w:t>
      </w:r>
      <w:r>
        <w:rPr>
          <w:rFonts w:ascii="Arial" w:eastAsia="MS Mincho" w:hAnsi="Arial" w:cs="Arial"/>
          <w:b/>
          <w:bCs/>
          <w:sz w:val="24"/>
          <w:lang w:eastAsia="ja-JP"/>
        </w:rPr>
        <w:t xml:space="preserve"> May</w:t>
      </w:r>
      <w:r w:rsidRPr="005C7597">
        <w:rPr>
          <w:rFonts w:ascii="Arial" w:eastAsia="MS Mincho" w:hAnsi="Arial" w:cs="Arial"/>
          <w:b/>
          <w:bCs/>
          <w:sz w:val="24"/>
          <w:lang w:eastAsia="ja-JP"/>
        </w:rPr>
        <w:t>, 2019</w:t>
      </w:r>
    </w:p>
    <w:p w14:paraId="3BA53984" w14:textId="77777777" w:rsidR="005C7597" w:rsidRDefault="005C7597" w:rsidP="005C7597">
      <w:pPr>
        <w:tabs>
          <w:tab w:val="left" w:pos="1985"/>
        </w:tabs>
        <w:spacing w:after="0" w:line="276" w:lineRule="auto"/>
        <w:ind w:left="2040" w:hangingChars="850" w:hanging="2040"/>
        <w:jc w:val="both"/>
        <w:rPr>
          <w:rFonts w:ascii="Arial" w:hAnsi="Arial"/>
          <w:b/>
          <w:sz w:val="24"/>
          <w:lang w:val="en-US"/>
        </w:rPr>
      </w:pPr>
    </w:p>
    <w:p w14:paraId="5E2A7ECE" w14:textId="71BA7AAF"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Agenda item:</w:t>
      </w:r>
      <w:r w:rsidRPr="00E5152C">
        <w:rPr>
          <w:rFonts w:ascii="Arial" w:hAnsi="Arial"/>
          <w:sz w:val="24"/>
          <w:lang w:val="en-US"/>
        </w:rPr>
        <w:tab/>
      </w:r>
      <w:bookmarkStart w:id="0" w:name="Source"/>
      <w:bookmarkEnd w:id="0"/>
      <w:r w:rsidR="005F6285" w:rsidRPr="00E5152C">
        <w:rPr>
          <w:rFonts w:ascii="Arial" w:hAnsi="Arial"/>
          <w:sz w:val="24"/>
          <w:lang w:val="en-US" w:eastAsia="ko-KR"/>
        </w:rPr>
        <w:t>7</w:t>
      </w:r>
      <w:r w:rsidR="00D03251" w:rsidRPr="00E5152C">
        <w:rPr>
          <w:rFonts w:ascii="Arial" w:hAnsi="Arial"/>
          <w:sz w:val="24"/>
          <w:lang w:val="en-US" w:eastAsia="ko-KR"/>
        </w:rPr>
        <w:t>.</w:t>
      </w:r>
      <w:r w:rsidR="00B13D80" w:rsidRPr="00E5152C">
        <w:rPr>
          <w:rFonts w:ascii="Arial" w:hAnsi="Arial"/>
          <w:sz w:val="24"/>
          <w:lang w:val="en-US" w:eastAsia="ko-KR"/>
        </w:rPr>
        <w:t>2</w:t>
      </w:r>
      <w:r w:rsidR="005E05B0" w:rsidRPr="00E5152C">
        <w:rPr>
          <w:rFonts w:ascii="Arial" w:hAnsi="Arial"/>
          <w:sz w:val="24"/>
          <w:lang w:val="en-US" w:eastAsia="ko-KR"/>
        </w:rPr>
        <w:t>.</w:t>
      </w:r>
      <w:r w:rsidR="00B13D80" w:rsidRPr="00E5152C">
        <w:rPr>
          <w:rFonts w:ascii="Arial" w:hAnsi="Arial"/>
          <w:sz w:val="24"/>
          <w:lang w:val="en-US" w:eastAsia="ko-KR"/>
        </w:rPr>
        <w:t>8</w:t>
      </w:r>
      <w:r w:rsidR="005E05B0" w:rsidRPr="00E5152C">
        <w:rPr>
          <w:rFonts w:ascii="Arial" w:hAnsi="Arial"/>
          <w:sz w:val="24"/>
          <w:lang w:val="en-US" w:eastAsia="ko-KR"/>
        </w:rPr>
        <w:t>.</w:t>
      </w:r>
      <w:r w:rsidR="00493B65">
        <w:rPr>
          <w:rFonts w:ascii="Arial" w:hAnsi="Arial"/>
          <w:sz w:val="24"/>
          <w:lang w:val="en-US" w:eastAsia="ko-KR"/>
        </w:rPr>
        <w:t>5</w:t>
      </w:r>
    </w:p>
    <w:p w14:paraId="1F4F8652" w14:textId="77777777" w:rsidR="0072162A" w:rsidRPr="00E5152C"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E5152C">
        <w:rPr>
          <w:rFonts w:ascii="Arial" w:hAnsi="Arial"/>
          <w:b/>
          <w:sz w:val="24"/>
          <w:lang w:val="en-US"/>
        </w:rPr>
        <w:t xml:space="preserve">Source: </w:t>
      </w:r>
      <w:r w:rsidRPr="00E5152C">
        <w:rPr>
          <w:rFonts w:ascii="Arial" w:hAnsi="Arial"/>
          <w:b/>
          <w:sz w:val="24"/>
          <w:lang w:val="en-US"/>
        </w:rPr>
        <w:tab/>
      </w:r>
      <w:r w:rsidRPr="00E5152C">
        <w:rPr>
          <w:rFonts w:ascii="Arial" w:hAnsi="Arial"/>
          <w:sz w:val="24"/>
          <w:lang w:val="en-US"/>
        </w:rPr>
        <w:t>Samsung</w:t>
      </w:r>
    </w:p>
    <w:p w14:paraId="48E0B754" w14:textId="5119922F"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 xml:space="preserve">Title: </w:t>
      </w:r>
      <w:r w:rsidRPr="00E5152C">
        <w:rPr>
          <w:rFonts w:ascii="Arial" w:hAnsi="Arial"/>
          <w:b/>
          <w:sz w:val="24"/>
          <w:lang w:val="en-US"/>
        </w:rPr>
        <w:tab/>
      </w:r>
      <w:r w:rsidR="0093337C">
        <w:rPr>
          <w:rFonts w:ascii="Arial" w:hAnsi="Arial"/>
          <w:sz w:val="24"/>
          <w:lang w:val="en-US"/>
        </w:rPr>
        <w:t xml:space="preserve">Discussion on IMR for L1-SINR measurement </w:t>
      </w:r>
    </w:p>
    <w:p w14:paraId="6FE5EC8D" w14:textId="77777777" w:rsidR="0072162A" w:rsidRPr="00E5152C"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Document for:</w:t>
      </w:r>
      <w:r w:rsidRPr="00E5152C">
        <w:rPr>
          <w:rFonts w:ascii="Arial" w:hAnsi="Arial"/>
          <w:sz w:val="24"/>
          <w:lang w:val="en-US"/>
        </w:rPr>
        <w:tab/>
      </w:r>
      <w:bookmarkStart w:id="1" w:name="DocumentFor"/>
      <w:bookmarkEnd w:id="1"/>
      <w:r w:rsidRPr="00E5152C">
        <w:rPr>
          <w:rFonts w:ascii="Arial" w:hAnsi="Arial"/>
          <w:sz w:val="24"/>
          <w:lang w:val="en-US"/>
        </w:rPr>
        <w:t>Discussion</w:t>
      </w:r>
      <w:r w:rsidR="00424A72" w:rsidRPr="00E5152C">
        <w:rPr>
          <w:rFonts w:ascii="Arial" w:hAnsi="Arial"/>
          <w:sz w:val="24"/>
          <w:lang w:val="en-US" w:eastAsia="ko-KR"/>
        </w:rPr>
        <w:t xml:space="preserve"> and </w:t>
      </w:r>
      <w:r w:rsidR="00361538" w:rsidRPr="00E5152C">
        <w:rPr>
          <w:rFonts w:ascii="Arial" w:hAnsi="Arial"/>
          <w:sz w:val="24"/>
          <w:lang w:val="en-US" w:eastAsia="ko-KR"/>
        </w:rPr>
        <w:t>D</w:t>
      </w:r>
      <w:r w:rsidR="00424A72" w:rsidRPr="00E5152C">
        <w:rPr>
          <w:rFonts w:ascii="Arial" w:hAnsi="Arial"/>
          <w:sz w:val="24"/>
          <w:lang w:val="en-US" w:eastAsia="ko-KR"/>
        </w:rPr>
        <w:t>ecision</w:t>
      </w:r>
    </w:p>
    <w:p w14:paraId="62B0D1A9" w14:textId="77777777" w:rsidR="00242D10" w:rsidRPr="00E5152C" w:rsidRDefault="00242D10" w:rsidP="00C83420">
      <w:pPr>
        <w:pStyle w:val="Heading1"/>
        <w:spacing w:before="0"/>
        <w:jc w:val="both"/>
        <w:rPr>
          <w:lang w:val="en-US"/>
        </w:rPr>
      </w:pPr>
      <w:r w:rsidRPr="00E5152C">
        <w:rPr>
          <w:lang w:val="en-US"/>
        </w:rPr>
        <w:t>Introduction</w:t>
      </w:r>
    </w:p>
    <w:p w14:paraId="7F248B3D" w14:textId="33DF3F07" w:rsidR="00CF67F3" w:rsidRDefault="009731D6" w:rsidP="00CC0312">
      <w:pPr>
        <w:pStyle w:val="0Maintext"/>
        <w:spacing w:after="120" w:afterAutospacing="0"/>
        <w:rPr>
          <w:lang w:val="en-US"/>
        </w:rPr>
      </w:pPr>
      <w:r>
        <w:rPr>
          <w:lang w:val="en-US"/>
        </w:rPr>
        <w:t xml:space="preserve">In RAN1#96, the following agreement was made </w:t>
      </w:r>
      <w:r w:rsidR="00E64818">
        <w:rPr>
          <w:lang w:val="en-US"/>
        </w:rPr>
        <w:fldChar w:fldCharType="begin"/>
      </w:r>
      <w:r w:rsidR="00E64818">
        <w:rPr>
          <w:lang w:val="en-US"/>
        </w:rPr>
        <w:instrText xml:space="preserve"> REF _Ref528938279 \r \h </w:instrText>
      </w:r>
      <w:r w:rsidR="00E64818">
        <w:rPr>
          <w:lang w:val="en-US"/>
        </w:rPr>
      </w:r>
      <w:r w:rsidR="00E64818">
        <w:rPr>
          <w:lang w:val="en-US"/>
        </w:rPr>
        <w:fldChar w:fldCharType="separate"/>
      </w:r>
      <w:r w:rsidR="006C3C44">
        <w:rPr>
          <w:lang w:val="en-US"/>
        </w:rPr>
        <w:t>[1]</w:t>
      </w:r>
      <w:r w:rsidR="00E64818">
        <w:rPr>
          <w:lang w:val="en-US"/>
        </w:rPr>
        <w:fldChar w:fldCharType="end"/>
      </w:r>
      <w:r>
        <w:rPr>
          <w:lang w:val="en-US"/>
        </w:rPr>
        <w:t>:</w:t>
      </w:r>
      <w:r w:rsidR="000B7076" w:rsidRPr="00E5152C">
        <w:rPr>
          <w:lang w:val="en-US"/>
        </w:rPr>
        <w:t xml:space="preserve"> </w:t>
      </w:r>
    </w:p>
    <w:p w14:paraId="2901D35E" w14:textId="77777777" w:rsidR="00E64818" w:rsidRPr="00E64818" w:rsidRDefault="00E64818" w:rsidP="00E64818">
      <w:pPr>
        <w:pStyle w:val="ListParagraph"/>
        <w:spacing w:after="0"/>
        <w:ind w:leftChars="0" w:left="0"/>
        <w:jc w:val="both"/>
        <w:rPr>
          <w:b/>
          <w:sz w:val="20"/>
          <w:highlight w:val="green"/>
        </w:rPr>
      </w:pPr>
      <w:r w:rsidRPr="00E64818">
        <w:rPr>
          <w:b/>
          <w:sz w:val="20"/>
          <w:highlight w:val="green"/>
        </w:rPr>
        <w:t>Agreement</w:t>
      </w:r>
    </w:p>
    <w:p w14:paraId="461677D1" w14:textId="77777777" w:rsidR="00E64818" w:rsidRPr="00BA3057" w:rsidRDefault="00E64818" w:rsidP="00E64818">
      <w:pPr>
        <w:pStyle w:val="ListParagraph"/>
        <w:spacing w:after="0"/>
        <w:ind w:leftChars="0" w:left="0"/>
        <w:jc w:val="both"/>
        <w:rPr>
          <w:sz w:val="18"/>
        </w:rPr>
      </w:pPr>
      <w:r w:rsidRPr="00BA3057">
        <w:rPr>
          <w:sz w:val="18"/>
        </w:rPr>
        <w:t>For interference measurement of L1-SINR, down select one of the following in RAN1#96bis</w:t>
      </w:r>
    </w:p>
    <w:p w14:paraId="66FF6F61" w14:textId="77777777" w:rsidR="00E64818" w:rsidRPr="00BA3057" w:rsidRDefault="00E64818" w:rsidP="00E64818">
      <w:pPr>
        <w:pStyle w:val="LGTdoc"/>
        <w:numPr>
          <w:ilvl w:val="0"/>
          <w:numId w:val="14"/>
        </w:numPr>
        <w:spacing w:afterLines="0" w:line="240" w:lineRule="auto"/>
        <w:rPr>
          <w:sz w:val="18"/>
          <w:szCs w:val="20"/>
          <w:lang w:val="en-US"/>
        </w:rPr>
      </w:pPr>
      <w:r w:rsidRPr="00BA3057">
        <w:rPr>
          <w:sz w:val="18"/>
          <w:szCs w:val="20"/>
          <w:lang w:val="en-US"/>
        </w:rPr>
        <w:t xml:space="preserve">Alt 1: dedicated ZP IMR </w:t>
      </w:r>
    </w:p>
    <w:p w14:paraId="7060D000" w14:textId="77777777" w:rsidR="00E64818" w:rsidRPr="00BA3057" w:rsidRDefault="00E64818" w:rsidP="00E64818">
      <w:pPr>
        <w:pStyle w:val="LGTdoc"/>
        <w:numPr>
          <w:ilvl w:val="0"/>
          <w:numId w:val="14"/>
        </w:numPr>
        <w:spacing w:afterLines="0" w:line="240" w:lineRule="auto"/>
        <w:rPr>
          <w:sz w:val="18"/>
          <w:szCs w:val="20"/>
          <w:lang w:val="en-US"/>
        </w:rPr>
      </w:pPr>
      <w:r w:rsidRPr="00BA3057">
        <w:rPr>
          <w:sz w:val="18"/>
          <w:szCs w:val="20"/>
          <w:lang w:val="en-US"/>
        </w:rPr>
        <w:t xml:space="preserve">Alt 2: dedicated NZP IMR </w:t>
      </w:r>
    </w:p>
    <w:p w14:paraId="4D188231" w14:textId="77777777" w:rsidR="00E64818" w:rsidRPr="00BA3057" w:rsidRDefault="00E64818" w:rsidP="00E64818">
      <w:pPr>
        <w:pStyle w:val="LGTdoc"/>
        <w:numPr>
          <w:ilvl w:val="0"/>
          <w:numId w:val="14"/>
        </w:numPr>
        <w:spacing w:afterLines="0" w:line="240" w:lineRule="auto"/>
        <w:rPr>
          <w:sz w:val="18"/>
          <w:szCs w:val="20"/>
          <w:lang w:val="en-US"/>
        </w:rPr>
      </w:pPr>
      <w:r w:rsidRPr="00BA3057">
        <w:rPr>
          <w:sz w:val="18"/>
          <w:szCs w:val="20"/>
          <w:lang w:val="en-US"/>
        </w:rPr>
        <w:t>Alt 3: dedicated ZP IMR and dedicated NZP IMR</w:t>
      </w:r>
    </w:p>
    <w:p w14:paraId="404764BF" w14:textId="77777777" w:rsidR="00E64818" w:rsidRPr="00BA3057" w:rsidRDefault="00E64818" w:rsidP="00E64818">
      <w:pPr>
        <w:pStyle w:val="ListParagraph"/>
        <w:spacing w:after="0"/>
        <w:ind w:leftChars="0" w:left="0"/>
        <w:jc w:val="both"/>
        <w:rPr>
          <w:sz w:val="18"/>
        </w:rPr>
      </w:pPr>
      <w:r w:rsidRPr="00BA3057">
        <w:rPr>
          <w:sz w:val="18"/>
        </w:rPr>
        <w:t>Companies are encouraged to provide use cases and benefit, e.g. throughput and gNB/UE complexity benefit for different alternatives</w:t>
      </w:r>
    </w:p>
    <w:p w14:paraId="0DF0D027" w14:textId="77777777" w:rsidR="00E64818" w:rsidRPr="00BA3057" w:rsidRDefault="00E64818" w:rsidP="00E64818">
      <w:pPr>
        <w:pStyle w:val="LGTdoc"/>
        <w:numPr>
          <w:ilvl w:val="0"/>
          <w:numId w:val="14"/>
        </w:numPr>
        <w:spacing w:afterLines="0" w:line="240" w:lineRule="auto"/>
        <w:rPr>
          <w:sz w:val="18"/>
          <w:szCs w:val="20"/>
          <w:lang w:val="en-US"/>
        </w:rPr>
      </w:pPr>
      <w:r w:rsidRPr="00BA3057">
        <w:rPr>
          <w:sz w:val="18"/>
          <w:szCs w:val="20"/>
          <w:lang w:val="en-US"/>
        </w:rPr>
        <w:t>L1-RSRP/CSI based beam selection could be baseline</w:t>
      </w:r>
    </w:p>
    <w:p w14:paraId="740B28F7" w14:textId="48BB704A" w:rsidR="005C7597" w:rsidRPr="00E5152C" w:rsidRDefault="005C7597" w:rsidP="000E50E2">
      <w:pPr>
        <w:pStyle w:val="0Maintext"/>
        <w:spacing w:after="120" w:afterAutospacing="0"/>
        <w:ind w:firstLine="0"/>
        <w:rPr>
          <w:lang w:val="en-US"/>
        </w:rPr>
      </w:pPr>
    </w:p>
    <w:p w14:paraId="68174098" w14:textId="010A3C72" w:rsidR="004777BD" w:rsidRDefault="00D90758" w:rsidP="00C83420">
      <w:pPr>
        <w:pStyle w:val="01Section1"/>
        <w:spacing w:before="0" w:after="120"/>
        <w:rPr>
          <w:lang w:val="en-US"/>
        </w:rPr>
      </w:pPr>
      <w:r>
        <w:rPr>
          <w:lang w:val="en-US"/>
        </w:rPr>
        <w:t xml:space="preserve">Dedicated </w:t>
      </w:r>
      <w:r w:rsidR="00331F4F">
        <w:rPr>
          <w:lang w:val="en-US"/>
        </w:rPr>
        <w:t>IMR for L1-SINR</w:t>
      </w:r>
    </w:p>
    <w:p w14:paraId="7B580F6A" w14:textId="0D0BDB49" w:rsidR="00C75339" w:rsidRDefault="00C75339" w:rsidP="00C75339">
      <w:pPr>
        <w:spacing w:after="120" w:line="288" w:lineRule="auto"/>
        <w:ind w:firstLine="432"/>
        <w:jc w:val="both"/>
        <w:rPr>
          <w:rFonts w:eastAsia="MS Mincho"/>
          <w:sz w:val="20"/>
          <w:lang w:eastAsia="ja-JP"/>
        </w:rPr>
      </w:pPr>
      <w:r>
        <w:rPr>
          <w:rFonts w:eastAsia="MS Mincho"/>
          <w:sz w:val="20"/>
          <w:lang w:eastAsia="ja-JP"/>
        </w:rPr>
        <w:t xml:space="preserve">As explained in </w:t>
      </w:r>
      <w:r>
        <w:rPr>
          <w:rFonts w:eastAsia="MS Mincho"/>
          <w:sz w:val="20"/>
          <w:lang w:eastAsia="ja-JP"/>
        </w:rPr>
        <w:fldChar w:fldCharType="begin"/>
      </w:r>
      <w:r>
        <w:rPr>
          <w:rFonts w:eastAsia="MS Mincho"/>
          <w:sz w:val="20"/>
          <w:lang w:eastAsia="ja-JP"/>
        </w:rPr>
        <w:instrText xml:space="preserve"> REF _Ref4457828 \r \h </w:instrText>
      </w:r>
      <w:r>
        <w:rPr>
          <w:rFonts w:eastAsia="MS Mincho"/>
          <w:sz w:val="20"/>
          <w:lang w:eastAsia="ja-JP"/>
        </w:rPr>
      </w:r>
      <w:r>
        <w:rPr>
          <w:rFonts w:eastAsia="MS Mincho"/>
          <w:sz w:val="20"/>
          <w:lang w:eastAsia="ja-JP"/>
        </w:rPr>
        <w:fldChar w:fldCharType="separate"/>
      </w:r>
      <w:r w:rsidR="006C3C44">
        <w:rPr>
          <w:rFonts w:eastAsia="MS Mincho"/>
          <w:sz w:val="20"/>
          <w:lang w:eastAsia="ja-JP"/>
        </w:rPr>
        <w:t>[4]</w:t>
      </w:r>
      <w:r>
        <w:rPr>
          <w:rFonts w:eastAsia="MS Mincho"/>
          <w:sz w:val="20"/>
          <w:lang w:eastAsia="ja-JP"/>
        </w:rPr>
        <w:fldChar w:fldCharType="end"/>
      </w:r>
      <w:r>
        <w:rPr>
          <w:rFonts w:eastAsia="MS Mincho"/>
          <w:sz w:val="20"/>
          <w:lang w:eastAsia="ja-JP"/>
        </w:rPr>
        <w:t xml:space="preserve">, the type of dedicated IMR for beam measurement depends on the definition of L1-SINR. </w:t>
      </w:r>
    </w:p>
    <w:p w14:paraId="567C7F30" w14:textId="58275BC0" w:rsidR="00C75339" w:rsidRDefault="00C75339" w:rsidP="00C75339">
      <w:pPr>
        <w:spacing w:after="120" w:line="288" w:lineRule="auto"/>
        <w:ind w:firstLine="432"/>
        <w:jc w:val="both"/>
        <w:rPr>
          <w:rFonts w:eastAsia="MS Mincho"/>
          <w:sz w:val="20"/>
          <w:lang w:eastAsia="ja-JP"/>
        </w:rPr>
      </w:pPr>
      <w:r>
        <w:rPr>
          <w:rFonts w:eastAsia="MS Mincho"/>
          <w:sz w:val="20"/>
          <w:lang w:eastAsia="ja-JP"/>
        </w:rPr>
        <w:t xml:space="preserve">In TS 38.215 </w:t>
      </w:r>
      <w:r w:rsidRPr="00E87AA9">
        <w:rPr>
          <w:rFonts w:eastAsia="MS Mincho"/>
          <w:sz w:val="20"/>
          <w:lang w:eastAsia="ja-JP"/>
        </w:rPr>
        <w:t>CSI/SS</w:t>
      </w:r>
      <w:r>
        <w:rPr>
          <w:rFonts w:eastAsia="MS Mincho"/>
          <w:sz w:val="20"/>
          <w:lang w:eastAsia="ja-JP"/>
        </w:rPr>
        <w:t>B</w:t>
      </w:r>
      <w:r w:rsidRPr="00E87AA9">
        <w:rPr>
          <w:rFonts w:eastAsia="MS Mincho"/>
          <w:sz w:val="20"/>
          <w:lang w:eastAsia="ja-JP"/>
        </w:rPr>
        <w:t xml:space="preserve">-SINR is defined as the ratio between average signal power and average noise-plus-interference power measured based on the same CSI-RS or SSB. </w:t>
      </w:r>
      <w:r>
        <w:rPr>
          <w:rFonts w:eastAsia="MS Mincho"/>
          <w:sz w:val="20"/>
          <w:lang w:eastAsia="ja-JP"/>
        </w:rPr>
        <w:t>Essentially, the</w:t>
      </w:r>
      <w:r w:rsidRPr="00E87AA9">
        <w:rPr>
          <w:rFonts w:eastAsia="MS Mincho"/>
          <w:sz w:val="20"/>
          <w:lang w:eastAsia="ja-JP"/>
        </w:rPr>
        <w:t xml:space="preserve"> metric </w:t>
      </w:r>
      <w:r>
        <w:rPr>
          <w:rFonts w:eastAsia="MS Mincho"/>
          <w:sz w:val="20"/>
          <w:lang w:eastAsia="ja-JP"/>
        </w:rPr>
        <w:t xml:space="preserve">is </w:t>
      </w:r>
      <w:r w:rsidRPr="00E87AA9">
        <w:rPr>
          <w:rFonts w:eastAsia="MS Mincho"/>
          <w:sz w:val="20"/>
          <w:lang w:eastAsia="ja-JP"/>
        </w:rPr>
        <w:t>defined as a ratio between average signal power</w:t>
      </w:r>
      <w:r>
        <w:rPr>
          <w:rFonts w:eastAsia="MS Mincho"/>
          <w:sz w:val="20"/>
          <w:lang w:eastAsia="ja-JP"/>
        </w:rPr>
        <w:t xml:space="preserve"> (across desired channel ensembles)</w:t>
      </w:r>
      <w:r w:rsidRPr="00E87AA9">
        <w:rPr>
          <w:rFonts w:eastAsia="MS Mincho"/>
          <w:sz w:val="20"/>
          <w:lang w:eastAsia="ja-JP"/>
        </w:rPr>
        <w:t xml:space="preserve"> and average noise-plus-interference power </w:t>
      </w:r>
      <w:r>
        <w:rPr>
          <w:rFonts w:eastAsia="MS Mincho"/>
          <w:sz w:val="20"/>
          <w:lang w:eastAsia="ja-JP"/>
        </w:rPr>
        <w:t xml:space="preserve">(across interference channel ensembles). Having observed that </w:t>
      </w:r>
      <w:r w:rsidR="008504F1">
        <w:rPr>
          <w:rFonts w:eastAsia="MS Mincho"/>
          <w:sz w:val="20"/>
          <w:lang w:eastAsia="ja-JP"/>
        </w:rPr>
        <w:t>38.215 L1-SINR offers no performance benefit over Rel.15 L1-RSRP, a</w:t>
      </w:r>
      <w:r>
        <w:rPr>
          <w:rFonts w:eastAsia="MS Mincho"/>
          <w:sz w:val="20"/>
          <w:lang w:eastAsia="ja-JP"/>
        </w:rPr>
        <w:t>nother definition of L1-SINR</w:t>
      </w:r>
      <w:r w:rsidR="008504F1">
        <w:rPr>
          <w:rFonts w:eastAsia="MS Mincho"/>
          <w:sz w:val="20"/>
          <w:lang w:eastAsia="ja-JP"/>
        </w:rPr>
        <w:t xml:space="preserve">, termed the RSRP-weighted SINR, is </w:t>
      </w:r>
      <w:r>
        <w:rPr>
          <w:rFonts w:eastAsia="MS Mincho"/>
          <w:sz w:val="20"/>
          <w:lang w:eastAsia="ja-JP"/>
        </w:rPr>
        <w:t xml:space="preserve">proposed </w:t>
      </w:r>
      <w:r w:rsidR="008504F1">
        <w:rPr>
          <w:rFonts w:eastAsia="MS Mincho"/>
          <w:sz w:val="20"/>
          <w:lang w:eastAsia="ja-JP"/>
        </w:rPr>
        <w:t>(</w:t>
      </w:r>
      <w:r>
        <w:rPr>
          <w:rFonts w:eastAsia="MS Mincho"/>
          <w:sz w:val="20"/>
          <w:lang w:eastAsia="ja-JP"/>
        </w:rPr>
        <w:t xml:space="preserve">in the companion contribution </w:t>
      </w:r>
      <w:r w:rsidR="008504F1">
        <w:rPr>
          <w:rFonts w:eastAsia="MS Mincho"/>
          <w:sz w:val="20"/>
          <w:lang w:eastAsia="ja-JP"/>
        </w:rPr>
        <w:fldChar w:fldCharType="begin"/>
      </w:r>
      <w:r w:rsidR="008504F1">
        <w:rPr>
          <w:rFonts w:eastAsia="MS Mincho"/>
          <w:sz w:val="20"/>
          <w:lang w:eastAsia="ja-JP"/>
        </w:rPr>
        <w:instrText xml:space="preserve"> REF _Ref4458949 \r \h </w:instrText>
      </w:r>
      <w:r w:rsidR="008504F1">
        <w:rPr>
          <w:rFonts w:eastAsia="MS Mincho"/>
          <w:sz w:val="20"/>
          <w:lang w:eastAsia="ja-JP"/>
        </w:rPr>
      </w:r>
      <w:r w:rsidR="008504F1">
        <w:rPr>
          <w:rFonts w:eastAsia="MS Mincho"/>
          <w:sz w:val="20"/>
          <w:lang w:eastAsia="ja-JP"/>
        </w:rPr>
        <w:fldChar w:fldCharType="separate"/>
      </w:r>
      <w:r w:rsidR="006C3C44">
        <w:rPr>
          <w:rFonts w:eastAsia="MS Mincho"/>
          <w:sz w:val="20"/>
          <w:lang w:eastAsia="ja-JP"/>
        </w:rPr>
        <w:t>[3]</w:t>
      </w:r>
      <w:r w:rsidR="008504F1">
        <w:rPr>
          <w:rFonts w:eastAsia="MS Mincho"/>
          <w:sz w:val="20"/>
          <w:lang w:eastAsia="ja-JP"/>
        </w:rPr>
        <w:fldChar w:fldCharType="end"/>
      </w:r>
      <w:r w:rsidR="008504F1">
        <w:rPr>
          <w:rFonts w:eastAsia="MS Mincho"/>
          <w:sz w:val="20"/>
          <w:lang w:eastAsia="ja-JP"/>
        </w:rPr>
        <w:t xml:space="preserve">). In either case, “long-term” (longer time-domain) averaging is separately performed for channel and interference components. Such metrics are termed “long-term” metrics. </w:t>
      </w:r>
    </w:p>
    <w:p w14:paraId="0514D74F" w14:textId="0743F872" w:rsidR="008504F1" w:rsidRDefault="008504F1" w:rsidP="00C75339">
      <w:pPr>
        <w:spacing w:after="120" w:line="288" w:lineRule="auto"/>
        <w:ind w:firstLine="432"/>
        <w:jc w:val="both"/>
        <w:rPr>
          <w:rFonts w:eastAsia="MS Mincho"/>
          <w:sz w:val="20"/>
          <w:lang w:eastAsia="ja-JP"/>
        </w:rPr>
      </w:pPr>
      <w:r>
        <w:rPr>
          <w:rFonts w:eastAsia="MS Mincho"/>
          <w:sz w:val="20"/>
          <w:lang w:eastAsia="ja-JP"/>
        </w:rPr>
        <w:t xml:space="preserve">In contrast of “long-term” metrics, CSI/CQI is considered a “short-term” metric since shorter time-domain averaging is performed, either jointly or separately, for channel and interference components. It has been argued that CSI/CQI is not suitable for beam metric because it is more complex than L1-RSRP/SINR. This argument, however, seems flawed on several fronts, e.g. the complexity issue can be easily circumvented by limiting the number of ports to 2 and assuming a fixed precoding and RI. It should also be noted that CQI, albeit </w:t>
      </w:r>
      <w:r w:rsidR="0033744B">
        <w:rPr>
          <w:rFonts w:eastAsia="MS Mincho"/>
          <w:sz w:val="20"/>
          <w:lang w:eastAsia="ja-JP"/>
        </w:rPr>
        <w:t>using spectral efficiency and MCS as the unit, is a form of SINR as well. If the unit is indeed an issue, an SINR metric that reuses the same methodology as CQI/CQI (in terms of measurement and calculation) but in dBm can be defined.</w:t>
      </w:r>
    </w:p>
    <w:p w14:paraId="00BD9BF0" w14:textId="08A74958" w:rsidR="00C75339" w:rsidRPr="0033744B" w:rsidRDefault="008504F1" w:rsidP="0033744B">
      <w:pPr>
        <w:spacing w:after="120" w:line="288" w:lineRule="auto"/>
        <w:ind w:firstLine="432"/>
        <w:jc w:val="both"/>
        <w:rPr>
          <w:rFonts w:eastAsia="MS Mincho"/>
          <w:sz w:val="20"/>
          <w:lang w:eastAsia="ja-JP"/>
        </w:rPr>
      </w:pPr>
      <w:r>
        <w:rPr>
          <w:rFonts w:eastAsia="MS Mincho"/>
          <w:sz w:val="20"/>
          <w:lang w:eastAsia="ja-JP"/>
        </w:rPr>
        <w:t>Depending on whether “long-term” or “short-term” beam metric</w:t>
      </w:r>
      <w:r w:rsidR="0033744B">
        <w:rPr>
          <w:rFonts w:eastAsia="MS Mincho"/>
          <w:sz w:val="20"/>
          <w:lang w:eastAsia="ja-JP"/>
        </w:rPr>
        <w:t xml:space="preserve"> is used, the utility value of each dedicated IMR type (ZP and NZP) will change as evident in the following discussion. </w:t>
      </w:r>
      <w:r w:rsidR="00D279CE">
        <w:rPr>
          <w:rFonts w:eastAsia="MS Mincho"/>
          <w:sz w:val="20"/>
          <w:lang w:eastAsia="ja-JP"/>
        </w:rPr>
        <w:t xml:space="preserve">The current situation seems to suggest that if an “interference aware” beam metric is to be supported, it should be “long-term”. </w:t>
      </w:r>
    </w:p>
    <w:p w14:paraId="19BB82C6"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669CC7A1"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52958974" w14:textId="716E1383" w:rsidR="002D3358" w:rsidRDefault="00D90758" w:rsidP="00D90758">
      <w:pPr>
        <w:pStyle w:val="Heading2"/>
        <w:rPr>
          <w:lang w:val="en-US"/>
        </w:rPr>
      </w:pPr>
      <w:bookmarkStart w:id="2" w:name="_Ref4456967"/>
      <w:r>
        <w:rPr>
          <w:lang w:val="en-US"/>
        </w:rPr>
        <w:t xml:space="preserve">Comparing </w:t>
      </w:r>
      <w:r w:rsidR="0033744B">
        <w:rPr>
          <w:lang w:val="en-US"/>
        </w:rPr>
        <w:t xml:space="preserve">the utility of </w:t>
      </w:r>
      <w:r w:rsidR="00125131">
        <w:rPr>
          <w:lang w:val="en-US"/>
        </w:rPr>
        <w:t xml:space="preserve">dedicated </w:t>
      </w:r>
      <w:r>
        <w:rPr>
          <w:lang w:val="en-US"/>
        </w:rPr>
        <w:t>ZP and NZP IMR</w:t>
      </w:r>
      <w:bookmarkEnd w:id="2"/>
    </w:p>
    <w:p w14:paraId="199C3917" w14:textId="29D28F66" w:rsidR="00125131" w:rsidRDefault="00125131" w:rsidP="00125131">
      <w:pPr>
        <w:spacing w:after="120" w:line="288" w:lineRule="auto"/>
        <w:ind w:firstLine="450"/>
        <w:jc w:val="both"/>
        <w:rPr>
          <w:sz w:val="20"/>
          <w:lang w:val="en-US"/>
        </w:rPr>
      </w:pPr>
      <w:r>
        <w:rPr>
          <w:sz w:val="20"/>
          <w:lang w:val="en-US"/>
        </w:rPr>
        <w:t xml:space="preserve">For CSI acquisition, it has been known that ZP IMR works well. It essentially blanks the desired signal (channel) to facilitate accurate interference measurement by the UE. The accuracy comes simply because there is no residual noise from the desired signal (channel). Note that since the context of this comparison is dedicated IMR, arguing that ZP IMR results in additional resource overhead is invalid. Therefore, accurate interference estimation is the main advantage of ZP IMR, be it for CSI acquisition, short-term, or long-term SINR metric. </w:t>
      </w:r>
    </w:p>
    <w:p w14:paraId="4CC7967B" w14:textId="42ECDFF5" w:rsidR="00125131" w:rsidRDefault="00125131" w:rsidP="00125131">
      <w:pPr>
        <w:spacing w:after="120" w:line="288" w:lineRule="auto"/>
        <w:ind w:firstLine="450"/>
        <w:jc w:val="both"/>
        <w:rPr>
          <w:sz w:val="20"/>
          <w:lang w:val="en-US"/>
        </w:rPr>
      </w:pPr>
      <w:r>
        <w:rPr>
          <w:sz w:val="20"/>
          <w:lang w:val="en-US"/>
        </w:rPr>
        <w:t xml:space="preserve">In Rel.15 NR, NZP CSI-RS as interference measurement resource was introduced in addition to ZP CSI-RS/IMR (analogous to LTE) for CSI acquisition. While it has been known that NZP CSI-RS tends to result in inaccurate </w:t>
      </w:r>
      <w:r>
        <w:rPr>
          <w:sz w:val="20"/>
          <w:lang w:val="en-US"/>
        </w:rPr>
        <w:lastRenderedPageBreak/>
        <w:t>interference estimation, it was argued (in Rel.15) that the additional benefit from ZP IMR is to facilitate “interference emulation”.</w:t>
      </w:r>
      <w:r w:rsidR="00D279CE">
        <w:rPr>
          <w:sz w:val="20"/>
          <w:lang w:val="en-US"/>
        </w:rPr>
        <w:t xml:space="preserve"> However</w:t>
      </w:r>
      <w:r>
        <w:rPr>
          <w:sz w:val="20"/>
          <w:lang w:val="en-US"/>
        </w:rPr>
        <w:t>:</w:t>
      </w:r>
    </w:p>
    <w:p w14:paraId="1E800A57" w14:textId="3FC370D4" w:rsidR="00D279CE" w:rsidRDefault="00125131" w:rsidP="00125131">
      <w:pPr>
        <w:pStyle w:val="ListParagraph"/>
        <w:numPr>
          <w:ilvl w:val="0"/>
          <w:numId w:val="43"/>
        </w:numPr>
        <w:spacing w:after="120" w:line="288" w:lineRule="auto"/>
        <w:ind w:leftChars="0"/>
        <w:jc w:val="both"/>
        <w:rPr>
          <w:sz w:val="20"/>
          <w:lang w:val="en-US"/>
        </w:rPr>
      </w:pPr>
      <w:r>
        <w:rPr>
          <w:sz w:val="20"/>
          <w:lang w:val="en-US"/>
        </w:rPr>
        <w:t>Inaccurate interference measurement from NZP CSI-RS essentially comes because the</w:t>
      </w:r>
      <w:r w:rsidR="00D279CE">
        <w:rPr>
          <w:sz w:val="20"/>
          <w:lang w:val="en-US"/>
        </w:rPr>
        <w:t xml:space="preserve"> desired channel component</w:t>
      </w:r>
      <w:r>
        <w:rPr>
          <w:sz w:val="20"/>
          <w:lang w:val="en-US"/>
        </w:rPr>
        <w:t xml:space="preserve"> (composed of</w:t>
      </w:r>
      <w:r w:rsidR="00D279CE">
        <w:rPr>
          <w:sz w:val="20"/>
          <w:lang w:val="en-US"/>
        </w:rPr>
        <w:t xml:space="preserve"> the convolution between the desired channel</w:t>
      </w:r>
      <w:r>
        <w:rPr>
          <w:sz w:val="20"/>
          <w:lang w:val="en-US"/>
        </w:rPr>
        <w:t xml:space="preserve"> </w:t>
      </w:r>
      <w:r w:rsidR="00D279CE">
        <w:rPr>
          <w:sz w:val="20"/>
          <w:lang w:val="en-US"/>
        </w:rPr>
        <w:t>and the desired signal) needs to be estimated, generated, and subtracted from the total signal received across the dedicated IMR. While the desired signal is fully known (CSI-RS sequence), the desired channel needs to be estimated. However, since the frequency domain density of CSI-RS is chosen just enough to facilitate CSI acquisition rather than demodulation (i.e. CSI-RS density is significantly lower than DMRS density since CSI-RS is not intended for demodulation-aiding channel estimation), the reconstructed desired channel component is not sufficiently accurate to provide clean interference estimation. The residual desired channel component (after subtraction) remains and pollutes the interference estimation.</w:t>
      </w:r>
    </w:p>
    <w:p w14:paraId="47CC59A5" w14:textId="63EFFC8B" w:rsidR="000D0B95" w:rsidRDefault="000D0B95" w:rsidP="000D0B95">
      <w:pPr>
        <w:pStyle w:val="ListParagraph"/>
        <w:numPr>
          <w:ilvl w:val="1"/>
          <w:numId w:val="43"/>
        </w:numPr>
        <w:spacing w:after="120" w:line="288" w:lineRule="auto"/>
        <w:ind w:leftChars="0"/>
        <w:jc w:val="both"/>
        <w:rPr>
          <w:sz w:val="20"/>
          <w:lang w:val="en-US"/>
        </w:rPr>
      </w:pPr>
      <w:r>
        <w:rPr>
          <w:sz w:val="20"/>
          <w:lang w:val="en-US"/>
        </w:rPr>
        <w:t>By the same token, the so-called “default IMR” of NZP CSI-RS configured as CMR should also be avoided.</w:t>
      </w:r>
    </w:p>
    <w:p w14:paraId="3461171A" w14:textId="76B4C3A7" w:rsidR="00125131" w:rsidRDefault="00D279CE" w:rsidP="00125131">
      <w:pPr>
        <w:pStyle w:val="ListParagraph"/>
        <w:numPr>
          <w:ilvl w:val="0"/>
          <w:numId w:val="43"/>
        </w:numPr>
        <w:spacing w:after="120" w:line="288" w:lineRule="auto"/>
        <w:ind w:leftChars="0"/>
        <w:jc w:val="both"/>
        <w:rPr>
          <w:sz w:val="20"/>
          <w:lang w:val="en-US"/>
        </w:rPr>
      </w:pPr>
      <w:r>
        <w:rPr>
          <w:sz w:val="20"/>
          <w:lang w:val="en-US"/>
        </w:rPr>
        <w:t xml:space="preserve">Interference emulation with NZP CSI-RS mimics the signal of </w:t>
      </w:r>
      <w:r w:rsidR="00F051EE">
        <w:rPr>
          <w:sz w:val="20"/>
          <w:lang w:val="en-US"/>
        </w:rPr>
        <w:t>one or two dominant</w:t>
      </w:r>
      <w:r>
        <w:rPr>
          <w:sz w:val="20"/>
          <w:lang w:val="en-US"/>
        </w:rPr>
        <w:t xml:space="preserve"> interferers for a short period of</w:t>
      </w:r>
      <w:r w:rsidR="00F051EE">
        <w:rPr>
          <w:sz w:val="20"/>
          <w:lang w:val="en-US"/>
        </w:rPr>
        <w:t xml:space="preserve"> time. This could be beneficial </w:t>
      </w:r>
      <w:r>
        <w:rPr>
          <w:sz w:val="20"/>
          <w:lang w:val="en-US"/>
        </w:rPr>
        <w:t xml:space="preserve">for the following scenarios: 1) CSI acquisition wherein shorter time-domain averaging is performed, </w:t>
      </w:r>
      <w:r w:rsidRPr="00D279CE">
        <w:rPr>
          <w:i/>
          <w:sz w:val="20"/>
          <w:lang w:val="en-US"/>
        </w:rPr>
        <w:t>and</w:t>
      </w:r>
      <w:r>
        <w:rPr>
          <w:sz w:val="20"/>
          <w:lang w:val="en-US"/>
        </w:rPr>
        <w:t xml:space="preserve"> 2) one or a few domina</w:t>
      </w:r>
      <w:r w:rsidR="00582D2F">
        <w:rPr>
          <w:sz w:val="20"/>
          <w:lang w:val="en-US"/>
        </w:rPr>
        <w:t>n</w:t>
      </w:r>
      <w:r>
        <w:rPr>
          <w:sz w:val="20"/>
          <w:lang w:val="en-US"/>
        </w:rPr>
        <w:t>t interferers are present over a short period of time (</w:t>
      </w:r>
      <w:r w:rsidR="006F02EA">
        <w:rPr>
          <w:sz w:val="20"/>
          <w:lang w:val="en-US"/>
        </w:rPr>
        <w:t xml:space="preserve">i.e. </w:t>
      </w:r>
      <w:r>
        <w:rPr>
          <w:sz w:val="20"/>
          <w:lang w:val="en-US"/>
        </w:rPr>
        <w:t>bursty). However,</w:t>
      </w:r>
      <w:r w:rsidR="00F051EE">
        <w:rPr>
          <w:sz w:val="20"/>
          <w:lang w:val="en-US"/>
        </w:rPr>
        <w:t xml:space="preserve"> none of these scenarios fit the bill for “long-term” beam metric. First, as argued by companies, L1-SINR should be “long-term”. Second, the presence of one or two dominant interferers in beam management is typically avoided rather than suppressed via receiver operation (unlike CSI acquisition). This is because DL beam selection is analogous to selecting a set of antenna ports used for a long time.  </w:t>
      </w:r>
      <w:r>
        <w:rPr>
          <w:sz w:val="20"/>
          <w:lang w:val="en-US"/>
        </w:rPr>
        <w:t xml:space="preserve">   </w:t>
      </w:r>
    </w:p>
    <w:p w14:paraId="0FC2DC13" w14:textId="78932370" w:rsidR="000D0B95" w:rsidRPr="00125131" w:rsidRDefault="000D0B95" w:rsidP="00125131">
      <w:pPr>
        <w:pStyle w:val="ListParagraph"/>
        <w:numPr>
          <w:ilvl w:val="0"/>
          <w:numId w:val="43"/>
        </w:numPr>
        <w:spacing w:after="120" w:line="288" w:lineRule="auto"/>
        <w:ind w:leftChars="0"/>
        <w:jc w:val="both"/>
        <w:rPr>
          <w:sz w:val="20"/>
          <w:lang w:val="en-US"/>
        </w:rPr>
      </w:pPr>
      <w:r>
        <w:rPr>
          <w:sz w:val="20"/>
          <w:lang w:val="en-US"/>
        </w:rPr>
        <w:t xml:space="preserve">It was mentioned that NZP IMR can be more economical in terms of CSI-RS resource usage. This argument, however, is out of context since ZP and NZP IMR are both </w:t>
      </w:r>
      <w:r w:rsidRPr="000D0B95">
        <w:rPr>
          <w:i/>
          <w:sz w:val="20"/>
          <w:lang w:val="en-US"/>
        </w:rPr>
        <w:t>dedicated</w:t>
      </w:r>
      <w:r>
        <w:rPr>
          <w:sz w:val="20"/>
          <w:lang w:val="en-US"/>
        </w:rPr>
        <w:t xml:space="preserve"> resources. Since the same set of patterns for CSI-RS is used for both ZP and NZP, there is no advantage of one over the other.   </w:t>
      </w:r>
    </w:p>
    <w:p w14:paraId="2E450B37" w14:textId="77777777" w:rsidR="00F051EE" w:rsidRDefault="00F051EE" w:rsidP="00F051EE">
      <w:pPr>
        <w:spacing w:after="120" w:line="288" w:lineRule="auto"/>
        <w:ind w:firstLine="450"/>
        <w:jc w:val="both"/>
        <w:rPr>
          <w:sz w:val="20"/>
          <w:lang w:val="en-US"/>
        </w:rPr>
      </w:pPr>
      <w:r>
        <w:rPr>
          <w:sz w:val="20"/>
          <w:lang w:val="en-US"/>
        </w:rPr>
        <w:t xml:space="preserve">Therefore, the so-called “interference emulation” is no longer relevant especially when “long-term” beam metric is used. Coupled with the loss of accuracy in interference measurement, dedicated NZP IMR (NZP CSI-RS) has no utility value for multi-beam operation. </w:t>
      </w:r>
    </w:p>
    <w:p w14:paraId="0D852EDD" w14:textId="182691AC" w:rsidR="008504F1" w:rsidRPr="00F051EE" w:rsidRDefault="00F051EE" w:rsidP="00F051EE">
      <w:pPr>
        <w:spacing w:after="120" w:line="288" w:lineRule="auto"/>
        <w:ind w:firstLine="450"/>
        <w:jc w:val="both"/>
        <w:rPr>
          <w:sz w:val="20"/>
          <w:lang w:val="en-US"/>
        </w:rPr>
      </w:pPr>
      <w:r>
        <w:rPr>
          <w:sz w:val="20"/>
          <w:lang w:val="en-US"/>
        </w:rPr>
        <w:t xml:space="preserve"> </w:t>
      </w:r>
    </w:p>
    <w:p w14:paraId="1AE5F506" w14:textId="0B93D7D9" w:rsidR="00BD66EA" w:rsidRPr="00D243C8" w:rsidRDefault="00BD66EA" w:rsidP="00D243C8">
      <w:pPr>
        <w:spacing w:after="120" w:line="288" w:lineRule="auto"/>
        <w:jc w:val="both"/>
        <w:rPr>
          <w:i/>
          <w:sz w:val="20"/>
        </w:rPr>
      </w:pPr>
      <w:r w:rsidRPr="00BD66EA">
        <w:rPr>
          <w:b/>
          <w:sz w:val="20"/>
          <w:u w:val="single"/>
        </w:rPr>
        <w:t>Observation</w:t>
      </w:r>
      <w:r w:rsidRPr="00BD66EA">
        <w:rPr>
          <w:i/>
          <w:sz w:val="20"/>
        </w:rPr>
        <w:t xml:space="preserve">: </w:t>
      </w:r>
      <w:r w:rsidR="00D243C8" w:rsidRPr="00D243C8">
        <w:rPr>
          <w:i/>
          <w:sz w:val="20"/>
        </w:rPr>
        <w:t>For multi-beam operation where “long-term” beam metric (such as 38.215 CSI/SSB-SINR or RSRP-weighted SINR) is used:</w:t>
      </w:r>
    </w:p>
    <w:p w14:paraId="41CC660A" w14:textId="48D393CC" w:rsidR="00D243C8" w:rsidRPr="00D243C8" w:rsidRDefault="00D243C8" w:rsidP="00D243C8">
      <w:pPr>
        <w:pStyle w:val="ListParagraph"/>
        <w:numPr>
          <w:ilvl w:val="0"/>
          <w:numId w:val="44"/>
        </w:numPr>
        <w:spacing w:after="120" w:line="288" w:lineRule="auto"/>
        <w:ind w:leftChars="0"/>
        <w:jc w:val="both"/>
        <w:rPr>
          <w:i/>
          <w:sz w:val="20"/>
        </w:rPr>
      </w:pPr>
      <w:r w:rsidRPr="00D243C8">
        <w:rPr>
          <w:i/>
          <w:sz w:val="20"/>
        </w:rPr>
        <w:t>Interference emulation is irrelevant</w:t>
      </w:r>
    </w:p>
    <w:p w14:paraId="77D9C622" w14:textId="595208C0" w:rsidR="00D243C8" w:rsidRDefault="00747CE0" w:rsidP="00D243C8">
      <w:pPr>
        <w:pStyle w:val="ListParagraph"/>
        <w:numPr>
          <w:ilvl w:val="0"/>
          <w:numId w:val="44"/>
        </w:numPr>
        <w:spacing w:after="120" w:line="288" w:lineRule="auto"/>
        <w:ind w:leftChars="0"/>
        <w:jc w:val="both"/>
        <w:rPr>
          <w:i/>
          <w:sz w:val="20"/>
        </w:rPr>
      </w:pPr>
      <w:r>
        <w:rPr>
          <w:i/>
          <w:sz w:val="20"/>
        </w:rPr>
        <w:t xml:space="preserve">If NZP IMR is used, </w:t>
      </w:r>
      <w:r w:rsidR="00D511F9">
        <w:rPr>
          <w:i/>
          <w:sz w:val="20"/>
        </w:rPr>
        <w:t>i</w:t>
      </w:r>
      <w:r w:rsidR="00D243C8" w:rsidRPr="00D243C8">
        <w:rPr>
          <w:i/>
          <w:sz w:val="20"/>
        </w:rPr>
        <w:t xml:space="preserve">nterference estimation accuracy is </w:t>
      </w:r>
      <w:r w:rsidR="00582D2F">
        <w:rPr>
          <w:i/>
          <w:sz w:val="20"/>
        </w:rPr>
        <w:t xml:space="preserve">unnecessarily </w:t>
      </w:r>
      <w:r w:rsidR="00D243C8" w:rsidRPr="00D243C8">
        <w:rPr>
          <w:i/>
          <w:sz w:val="20"/>
        </w:rPr>
        <w:t xml:space="preserve">impaired due to the need for desired channel component subtraction/cancellation exacerbated by the lower FD density of CSI-RS </w:t>
      </w:r>
    </w:p>
    <w:p w14:paraId="40AF78E8" w14:textId="7A4D0E2C" w:rsidR="00747CE0" w:rsidRPr="00D243C8" w:rsidRDefault="00747CE0" w:rsidP="00D243C8">
      <w:pPr>
        <w:pStyle w:val="ListParagraph"/>
        <w:numPr>
          <w:ilvl w:val="0"/>
          <w:numId w:val="44"/>
        </w:numPr>
        <w:spacing w:after="120" w:line="288" w:lineRule="auto"/>
        <w:ind w:leftChars="0"/>
        <w:jc w:val="both"/>
        <w:rPr>
          <w:i/>
          <w:sz w:val="20"/>
        </w:rPr>
      </w:pPr>
      <w:r>
        <w:rPr>
          <w:i/>
          <w:sz w:val="20"/>
        </w:rPr>
        <w:t>In terms of resource utilization, both ZP and NZP IMR are dedicated resources. There is no difference in terms of resource usage.</w:t>
      </w:r>
    </w:p>
    <w:p w14:paraId="720E22B8" w14:textId="77777777" w:rsidR="00D90758" w:rsidRDefault="00D90758" w:rsidP="00E87AA9">
      <w:pPr>
        <w:pStyle w:val="0Maintext"/>
        <w:spacing w:after="120" w:afterAutospacing="0"/>
        <w:ind w:firstLine="0"/>
        <w:rPr>
          <w:lang w:val="en-US" w:eastAsia="ko-KR"/>
        </w:rPr>
      </w:pPr>
    </w:p>
    <w:p w14:paraId="0D342854" w14:textId="2A1D947F" w:rsidR="00D90758" w:rsidRDefault="00D90758" w:rsidP="00D90758">
      <w:pPr>
        <w:pStyle w:val="Heading2"/>
        <w:rPr>
          <w:lang w:val="en-US"/>
        </w:rPr>
      </w:pPr>
      <w:bookmarkStart w:id="3" w:name="_Ref4456974"/>
      <w:r>
        <w:rPr>
          <w:lang w:val="en-US"/>
        </w:rPr>
        <w:t>Simulation results</w:t>
      </w:r>
      <w:bookmarkEnd w:id="3"/>
    </w:p>
    <w:p w14:paraId="1FE57147" w14:textId="1D2A315F" w:rsidR="00B24CD8" w:rsidRPr="006C3C44" w:rsidRDefault="00B24CD8" w:rsidP="00747CE0">
      <w:pPr>
        <w:spacing w:after="120" w:line="288" w:lineRule="auto"/>
        <w:ind w:right="14" w:firstLine="446"/>
        <w:jc w:val="both"/>
        <w:rPr>
          <w:sz w:val="20"/>
          <w:lang w:eastAsia="ko-KR"/>
        </w:rPr>
      </w:pPr>
      <w:r w:rsidRPr="006C3C44">
        <w:rPr>
          <w:sz w:val="20"/>
        </w:rPr>
        <w:t xml:space="preserve">For performance evaluation, the </w:t>
      </w:r>
      <w:r w:rsidRPr="006C3C44">
        <w:rPr>
          <w:rFonts w:hint="eastAsia"/>
          <w:sz w:val="20"/>
        </w:rPr>
        <w:t xml:space="preserve">non-full-buffer system-level </w:t>
      </w:r>
      <w:r w:rsidRPr="006C3C44">
        <w:rPr>
          <w:sz w:val="20"/>
        </w:rPr>
        <w:t>e</w:t>
      </w:r>
      <w:r w:rsidRPr="006C3C44">
        <w:rPr>
          <w:rFonts w:hint="eastAsia"/>
          <w:sz w:val="20"/>
        </w:rPr>
        <w:t>valuation</w:t>
      </w:r>
      <w:r w:rsidRPr="006C3C44">
        <w:rPr>
          <w:sz w:val="20"/>
        </w:rPr>
        <w:t xml:space="preserve"> setup</w:t>
      </w:r>
      <w:r w:rsidRPr="006C3C44">
        <w:rPr>
          <w:rFonts w:hint="eastAsia"/>
          <w:sz w:val="20"/>
        </w:rPr>
        <w:t xml:space="preserve"> </w:t>
      </w:r>
      <w:r w:rsidRPr="006C3C44">
        <w:rPr>
          <w:sz w:val="20"/>
        </w:rPr>
        <w:t>is</w:t>
      </w:r>
      <w:r w:rsidRPr="006C3C44">
        <w:rPr>
          <w:rFonts w:hint="eastAsia"/>
          <w:sz w:val="20"/>
        </w:rPr>
        <w:t xml:space="preserve"> </w:t>
      </w:r>
      <w:r w:rsidRPr="006C3C44">
        <w:rPr>
          <w:sz w:val="20"/>
        </w:rPr>
        <w:t>used with the</w:t>
      </w:r>
      <w:r w:rsidRPr="006C3C44">
        <w:rPr>
          <w:rFonts w:hint="eastAsia"/>
          <w:sz w:val="20"/>
        </w:rPr>
        <w:t xml:space="preserve"> </w:t>
      </w:r>
      <w:r w:rsidRPr="006C3C44">
        <w:rPr>
          <w:sz w:val="20"/>
        </w:rPr>
        <w:t>Dense Urban Macro scenario</w:t>
      </w:r>
      <w:r w:rsidRPr="006C3C44">
        <w:rPr>
          <w:rFonts w:hint="eastAsia"/>
          <w:sz w:val="20"/>
        </w:rPr>
        <w:t xml:space="preserve"> </w:t>
      </w:r>
      <w:r w:rsidRPr="006C3C44">
        <w:rPr>
          <w:sz w:val="20"/>
        </w:rPr>
        <w:t>assuming</w:t>
      </w:r>
      <w:r w:rsidRPr="006C3C44">
        <w:rPr>
          <w:rFonts w:hint="eastAsia"/>
          <w:sz w:val="20"/>
        </w:rPr>
        <w:t xml:space="preserve"> </w:t>
      </w:r>
      <w:r w:rsidRPr="006C3C44">
        <w:rPr>
          <w:sz w:val="20"/>
        </w:rPr>
        <w:t>medium (50% target RU) traffic loading scenario</w:t>
      </w:r>
      <w:r w:rsidR="000D0B95">
        <w:rPr>
          <w:sz w:val="20"/>
        </w:rPr>
        <w:t xml:space="preserve"> per the agreed EVM</w:t>
      </w:r>
      <w:r w:rsidRPr="006C3C44">
        <w:rPr>
          <w:sz w:val="20"/>
        </w:rPr>
        <w:t xml:space="preserve">. SU-MIMO transmission is considered in the simulation. The relevant simulation assumptions and parameters are listed in </w:t>
      </w:r>
      <w:r w:rsidRPr="006C3C44">
        <w:rPr>
          <w:sz w:val="20"/>
        </w:rPr>
        <w:fldChar w:fldCharType="begin"/>
      </w:r>
      <w:r w:rsidRPr="006C3C44">
        <w:rPr>
          <w:sz w:val="20"/>
        </w:rPr>
        <w:instrText xml:space="preserve"> REF _Ref525812457 \h  \* MERGEFORMAT </w:instrText>
      </w:r>
      <w:r w:rsidRPr="006C3C44">
        <w:rPr>
          <w:sz w:val="20"/>
        </w:rPr>
      </w:r>
      <w:r w:rsidRPr="006C3C44">
        <w:rPr>
          <w:sz w:val="20"/>
        </w:rPr>
        <w:fldChar w:fldCharType="separate"/>
      </w:r>
      <w:r w:rsidR="006C3C44" w:rsidRPr="006C3C44">
        <w:rPr>
          <w:sz w:val="20"/>
        </w:rPr>
        <w:t xml:space="preserve">Table </w:t>
      </w:r>
      <w:r w:rsidR="006C3C44" w:rsidRPr="006C3C44">
        <w:rPr>
          <w:noProof/>
          <w:sz w:val="20"/>
        </w:rPr>
        <w:t>1</w:t>
      </w:r>
      <w:r w:rsidRPr="006C3C44">
        <w:rPr>
          <w:sz w:val="20"/>
        </w:rPr>
        <w:fldChar w:fldCharType="end"/>
      </w:r>
      <w:r w:rsidRPr="006C3C44">
        <w:rPr>
          <w:sz w:val="20"/>
        </w:rPr>
        <w:t xml:space="preserve"> in the Appendix. The</w:t>
      </w:r>
      <w:r w:rsidRPr="006C3C44">
        <w:rPr>
          <w:sz w:val="20"/>
          <w:lang w:val="en-US" w:eastAsia="ko-KR"/>
        </w:rPr>
        <w:t xml:space="preserve"> following beam selection metrics are simulated.</w:t>
      </w:r>
    </w:p>
    <w:p w14:paraId="4037871C" w14:textId="77777777" w:rsidR="00B24CD8" w:rsidRPr="006C3C44" w:rsidRDefault="00B24CD8" w:rsidP="00747CE0">
      <w:pPr>
        <w:pStyle w:val="ListParagraph"/>
        <w:numPr>
          <w:ilvl w:val="0"/>
          <w:numId w:val="35"/>
        </w:numPr>
        <w:spacing w:after="120" w:line="288" w:lineRule="auto"/>
        <w:ind w:leftChars="0"/>
        <w:jc w:val="both"/>
        <w:rPr>
          <w:sz w:val="20"/>
        </w:rPr>
      </w:pPr>
      <w:r w:rsidRPr="006C3C44">
        <w:rPr>
          <w:sz w:val="20"/>
          <w:lang w:val="en-US"/>
        </w:rPr>
        <w:t xml:space="preserve">Alt 0: Rel.15 L1-RSRP </w:t>
      </w:r>
    </w:p>
    <w:p w14:paraId="2D47209A" w14:textId="77777777" w:rsidR="00B24CD8" w:rsidRPr="006C3C44" w:rsidRDefault="00B24CD8" w:rsidP="00747CE0">
      <w:pPr>
        <w:pStyle w:val="ListParagraph"/>
        <w:numPr>
          <w:ilvl w:val="0"/>
          <w:numId w:val="35"/>
        </w:numPr>
        <w:spacing w:after="120" w:line="288" w:lineRule="auto"/>
        <w:ind w:leftChars="0"/>
        <w:jc w:val="both"/>
        <w:rPr>
          <w:sz w:val="20"/>
        </w:rPr>
      </w:pPr>
      <w:r w:rsidRPr="006C3C44">
        <w:rPr>
          <w:sz w:val="20"/>
        </w:rPr>
        <w:t xml:space="preserve">Alt 1: CSI-SINR metric as in TS 38.215 </w:t>
      </w:r>
    </w:p>
    <w:p w14:paraId="36FF17BF" w14:textId="117BD131" w:rsidR="00B24CD8" w:rsidRPr="006C3C44" w:rsidRDefault="00B24CD8" w:rsidP="00747CE0">
      <w:pPr>
        <w:pStyle w:val="ListParagraph"/>
        <w:keepNext/>
        <w:numPr>
          <w:ilvl w:val="0"/>
          <w:numId w:val="35"/>
        </w:numPr>
        <w:spacing w:after="120" w:line="288" w:lineRule="auto"/>
        <w:ind w:leftChars="0"/>
        <w:jc w:val="both"/>
        <w:rPr>
          <w:sz w:val="20"/>
        </w:rPr>
      </w:pPr>
      <w:r w:rsidRPr="006C3C44">
        <w:rPr>
          <w:sz w:val="20"/>
        </w:rPr>
        <w:lastRenderedPageBreak/>
        <w:t xml:space="preserve">Alt 2: the weighted L1-SINR metric as proposed in [4]. </w:t>
      </w:r>
    </w:p>
    <w:p w14:paraId="08DDE8C2" w14:textId="703F066D" w:rsidR="006C3C44" w:rsidRPr="006C3C44" w:rsidRDefault="006C3C44" w:rsidP="00747CE0">
      <w:pPr>
        <w:spacing w:after="120" w:line="288" w:lineRule="auto"/>
        <w:jc w:val="both"/>
        <w:rPr>
          <w:sz w:val="20"/>
        </w:rPr>
      </w:pPr>
      <w:r w:rsidRPr="006C3C44">
        <w:rPr>
          <w:sz w:val="20"/>
        </w:rPr>
        <w:t>For Alt 1 and Alt 2, results are shown for</w:t>
      </w:r>
      <w:r>
        <w:rPr>
          <w:sz w:val="20"/>
        </w:rPr>
        <w:t xml:space="preserve"> both</w:t>
      </w:r>
      <w:r w:rsidRPr="006C3C44">
        <w:rPr>
          <w:sz w:val="20"/>
        </w:rPr>
        <w:t xml:space="preserve"> ZP and NZP IMR</w:t>
      </w:r>
      <w:r>
        <w:rPr>
          <w:sz w:val="20"/>
        </w:rPr>
        <w:t xml:space="preserve"> based interference measurement</w:t>
      </w:r>
      <w:r w:rsidR="001F54B0">
        <w:rPr>
          <w:sz w:val="20"/>
        </w:rPr>
        <w:t xml:space="preserve"> with 1- and 3-RE/RB FD density</w:t>
      </w:r>
      <w:r w:rsidRPr="006C3C44">
        <w:rPr>
          <w:sz w:val="20"/>
        </w:rPr>
        <w:t xml:space="preserve">. The user perceived throughput (UPT) performance comparison between the three metrics is shown in </w:t>
      </w:r>
      <w:r w:rsidRPr="006C3C44">
        <w:rPr>
          <w:sz w:val="20"/>
        </w:rPr>
        <w:fldChar w:fldCharType="begin"/>
      </w:r>
      <w:r w:rsidRPr="006C3C44">
        <w:rPr>
          <w:sz w:val="20"/>
        </w:rPr>
        <w:instrText xml:space="preserve"> REF _Ref529777388 \h </w:instrText>
      </w:r>
      <w:r>
        <w:rPr>
          <w:sz w:val="20"/>
        </w:rPr>
        <w:instrText xml:space="preserve"> \* MERGEFORMAT </w:instrText>
      </w:r>
      <w:r w:rsidRPr="006C3C44">
        <w:rPr>
          <w:sz w:val="20"/>
        </w:rPr>
      </w:r>
      <w:r w:rsidRPr="006C3C44">
        <w:rPr>
          <w:sz w:val="20"/>
        </w:rPr>
        <w:fldChar w:fldCharType="separate"/>
      </w:r>
      <w:r w:rsidRPr="006C3C44">
        <w:rPr>
          <w:sz w:val="20"/>
        </w:rPr>
        <w:t xml:space="preserve">Figure </w:t>
      </w:r>
      <w:r>
        <w:rPr>
          <w:noProof/>
          <w:sz w:val="20"/>
        </w:rPr>
        <w:t>1</w:t>
      </w:r>
      <w:r w:rsidRPr="006C3C44">
        <w:rPr>
          <w:sz w:val="20"/>
        </w:rPr>
        <w:fldChar w:fldCharType="end"/>
      </w:r>
      <w:r w:rsidR="00650A7B">
        <w:rPr>
          <w:sz w:val="20"/>
        </w:rPr>
        <w:t xml:space="preserve"> (with dedicated IMR overhead taken into account)</w:t>
      </w:r>
      <w:r w:rsidRPr="006C3C44">
        <w:rPr>
          <w:sz w:val="20"/>
        </w:rPr>
        <w:t>. We can observe the following.</w:t>
      </w:r>
    </w:p>
    <w:p w14:paraId="62DBDB2C" w14:textId="77777777" w:rsidR="00C56A74" w:rsidRDefault="00C56A74" w:rsidP="006C3C44">
      <w:pPr>
        <w:spacing w:after="120" w:line="288" w:lineRule="auto"/>
        <w:jc w:val="both"/>
        <w:rPr>
          <w:b/>
          <w:sz w:val="20"/>
          <w:u w:val="single"/>
        </w:rPr>
      </w:pPr>
    </w:p>
    <w:p w14:paraId="314AF16D" w14:textId="23432B2B" w:rsidR="006C3C44" w:rsidRPr="006C3C44" w:rsidRDefault="006C3C44" w:rsidP="006C3C44">
      <w:pPr>
        <w:spacing w:after="120" w:line="288" w:lineRule="auto"/>
        <w:jc w:val="both"/>
        <w:rPr>
          <w:i/>
          <w:sz w:val="20"/>
        </w:rPr>
      </w:pPr>
      <w:r w:rsidRPr="006C3C44">
        <w:rPr>
          <w:b/>
          <w:sz w:val="20"/>
          <w:u w:val="single"/>
        </w:rPr>
        <w:t>Observation</w:t>
      </w:r>
      <w:r w:rsidRPr="006C3C44">
        <w:rPr>
          <w:i/>
          <w:sz w:val="20"/>
        </w:rPr>
        <w:t xml:space="preserve">: </w:t>
      </w:r>
    </w:p>
    <w:p w14:paraId="452544DE" w14:textId="49FB2C7C" w:rsidR="006C3C44" w:rsidRDefault="006C3C44" w:rsidP="00CB7770">
      <w:pPr>
        <w:pStyle w:val="ListParagraph"/>
        <w:numPr>
          <w:ilvl w:val="0"/>
          <w:numId w:val="36"/>
        </w:numPr>
        <w:spacing w:before="60" w:after="120" w:line="288" w:lineRule="auto"/>
        <w:ind w:leftChars="0"/>
        <w:jc w:val="both"/>
        <w:rPr>
          <w:i/>
          <w:sz w:val="20"/>
        </w:rPr>
      </w:pPr>
      <w:r>
        <w:rPr>
          <w:i/>
          <w:sz w:val="20"/>
        </w:rPr>
        <w:t>There is significant performance degradation with NZP IMR when compared with ZP IMR</w:t>
      </w:r>
      <w:r w:rsidR="00650A7B">
        <w:rPr>
          <w:i/>
          <w:sz w:val="20"/>
        </w:rPr>
        <w:t xml:space="preserve"> </w:t>
      </w:r>
      <w:r w:rsidR="007B4A70">
        <w:rPr>
          <w:i/>
          <w:sz w:val="20"/>
        </w:rPr>
        <w:t>(</w:t>
      </w:r>
      <w:r w:rsidR="00650A7B">
        <w:rPr>
          <w:i/>
          <w:sz w:val="20"/>
        </w:rPr>
        <w:t>up to ~4</w:t>
      </w:r>
      <w:r w:rsidR="007B4A70">
        <w:rPr>
          <w:i/>
          <w:sz w:val="20"/>
        </w:rPr>
        <w:t>% in average UPT)</w:t>
      </w:r>
      <w:r>
        <w:rPr>
          <w:i/>
          <w:sz w:val="20"/>
        </w:rPr>
        <w:t xml:space="preserve">. </w:t>
      </w:r>
      <w:r w:rsidR="00CD7C69">
        <w:rPr>
          <w:i/>
          <w:sz w:val="20"/>
        </w:rPr>
        <w:t>The degradation is smaller when 3-RE/RB FD density is used.</w:t>
      </w:r>
    </w:p>
    <w:p w14:paraId="0E6443B9" w14:textId="4A554AD9" w:rsidR="006C3C44" w:rsidRPr="006C3C44" w:rsidRDefault="006C3C44" w:rsidP="00CB7770">
      <w:pPr>
        <w:pStyle w:val="ListParagraph"/>
        <w:numPr>
          <w:ilvl w:val="0"/>
          <w:numId w:val="36"/>
        </w:numPr>
        <w:spacing w:before="60" w:after="120" w:line="288" w:lineRule="auto"/>
        <w:ind w:leftChars="0"/>
        <w:jc w:val="both"/>
        <w:rPr>
          <w:i/>
          <w:sz w:val="20"/>
        </w:rPr>
      </w:pPr>
      <w:r w:rsidRPr="006C3C44">
        <w:rPr>
          <w:i/>
          <w:sz w:val="20"/>
        </w:rPr>
        <w:t>The TS 38.215 CSI-SINR metric results in lower average and 5% UPT performance</w:t>
      </w:r>
      <w:r w:rsidRPr="006C3C44" w:rsidDel="001C7365">
        <w:rPr>
          <w:i/>
          <w:sz w:val="20"/>
        </w:rPr>
        <w:t xml:space="preserve"> </w:t>
      </w:r>
      <w:r w:rsidRPr="006C3C44">
        <w:rPr>
          <w:i/>
          <w:sz w:val="20"/>
        </w:rPr>
        <w:t>than Rel.15 L1-RSRP metric. Therefore, there is no perceivable benefit from 38.215 SINR in UPT.</w:t>
      </w:r>
    </w:p>
    <w:p w14:paraId="3786C28F" w14:textId="77777777" w:rsidR="006C3C44" w:rsidRPr="006C3C44" w:rsidRDefault="006C3C44" w:rsidP="006C3C44">
      <w:pPr>
        <w:pStyle w:val="ListParagraph"/>
        <w:numPr>
          <w:ilvl w:val="0"/>
          <w:numId w:val="36"/>
        </w:numPr>
        <w:spacing w:before="60" w:after="120" w:line="288" w:lineRule="auto"/>
        <w:ind w:leftChars="0"/>
        <w:jc w:val="both"/>
        <w:rPr>
          <w:i/>
          <w:sz w:val="20"/>
        </w:rPr>
      </w:pPr>
      <w:r w:rsidRPr="006C3C44">
        <w:rPr>
          <w:i/>
          <w:sz w:val="20"/>
        </w:rPr>
        <w:t xml:space="preserve">The proposed RSRP-weighted SINR metric shows large performance gain over both Rel. 15 L1-RSRP and TS 38.215 CSI-SINR metrics.  </w:t>
      </w:r>
    </w:p>
    <w:p w14:paraId="5A9AC647" w14:textId="777B265A" w:rsidR="00B24CD8" w:rsidRDefault="00B24CD8" w:rsidP="006C3C44">
      <w:pPr>
        <w:rPr>
          <w:sz w:val="20"/>
        </w:rPr>
      </w:pPr>
    </w:p>
    <w:p w14:paraId="4A7B3578" w14:textId="55D433F9" w:rsidR="00342A42" w:rsidRPr="006C3C44" w:rsidRDefault="00650A7B" w:rsidP="006C3C44">
      <w:pPr>
        <w:rPr>
          <w:sz w:val="20"/>
        </w:rPr>
      </w:pPr>
      <w:r w:rsidRPr="00650A7B">
        <w:rPr>
          <w:sz w:val="20"/>
          <w:lang w:val="en-US"/>
        </w:rPr>
        <w:drawing>
          <wp:inline distT="0" distB="0" distL="0" distR="0" wp14:anchorId="48DAB6C4" wp14:editId="336036B3">
            <wp:extent cx="6137031" cy="4064000"/>
            <wp:effectExtent l="0" t="0" r="16510" b="1270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B0745B1" w14:textId="218BDA2D" w:rsidR="00B24CD8" w:rsidRDefault="00650A7B" w:rsidP="00B24CD8">
      <w:pPr>
        <w:keepNext/>
        <w:jc w:val="center"/>
        <w:rPr>
          <w:noProof/>
          <w:lang w:val="en-US"/>
        </w:rPr>
      </w:pPr>
      <w:r w:rsidRPr="00650A7B">
        <w:rPr>
          <w:noProof/>
          <w:lang w:val="en-US"/>
        </w:rPr>
        <w:lastRenderedPageBreak/>
        <w:drawing>
          <wp:inline distT="0" distB="0" distL="0" distR="0" wp14:anchorId="0D3DAA58" wp14:editId="2B5B733E">
            <wp:extent cx="6119447" cy="4064000"/>
            <wp:effectExtent l="0" t="0" r="15240" b="1270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1098B11" w14:textId="39585152" w:rsidR="00B24CD8" w:rsidRDefault="00B24CD8" w:rsidP="00B24CD8">
      <w:pPr>
        <w:keepNext/>
        <w:jc w:val="center"/>
      </w:pPr>
      <w:r w:rsidRPr="00DE379B">
        <w:rPr>
          <w:noProof/>
          <w:lang w:val="en-US"/>
        </w:rPr>
        <w:t xml:space="preserve"> </w:t>
      </w:r>
    </w:p>
    <w:p w14:paraId="2628D701" w14:textId="174CF586" w:rsidR="00B24CD8" w:rsidRPr="006C3C44" w:rsidRDefault="00B24CD8" w:rsidP="00B24CD8">
      <w:pPr>
        <w:pStyle w:val="Caption"/>
        <w:jc w:val="center"/>
        <w:rPr>
          <w:sz w:val="20"/>
        </w:rPr>
      </w:pPr>
      <w:bookmarkStart w:id="4" w:name="_Ref529777388"/>
      <w:r w:rsidRPr="006C3C44">
        <w:rPr>
          <w:sz w:val="20"/>
        </w:rPr>
        <w:t xml:space="preserve">Figure </w:t>
      </w:r>
      <w:r w:rsidRPr="006C3C44">
        <w:rPr>
          <w:sz w:val="20"/>
        </w:rPr>
        <w:fldChar w:fldCharType="begin"/>
      </w:r>
      <w:r w:rsidRPr="006C3C44">
        <w:rPr>
          <w:sz w:val="20"/>
        </w:rPr>
        <w:instrText xml:space="preserve"> SEQ Figure \* ARABIC </w:instrText>
      </w:r>
      <w:r w:rsidRPr="006C3C44">
        <w:rPr>
          <w:sz w:val="20"/>
        </w:rPr>
        <w:fldChar w:fldCharType="separate"/>
      </w:r>
      <w:r w:rsidR="006C3C44">
        <w:rPr>
          <w:noProof/>
          <w:sz w:val="20"/>
        </w:rPr>
        <w:t>1</w:t>
      </w:r>
      <w:r w:rsidRPr="006C3C44">
        <w:rPr>
          <w:sz w:val="20"/>
        </w:rPr>
        <w:fldChar w:fldCharType="end"/>
      </w:r>
      <w:bookmarkEnd w:id="4"/>
      <w:r w:rsidRPr="006C3C44">
        <w:rPr>
          <w:sz w:val="20"/>
        </w:rPr>
        <w:t>: User throughput performance comparison between Rel.15 L1-RSRP, TS 38.215 SINR, and weighted SINR metrics; and ZP and NZP IMR</w:t>
      </w:r>
    </w:p>
    <w:p w14:paraId="61E9A261" w14:textId="77777777" w:rsidR="00B24CD8" w:rsidRDefault="00B24CD8" w:rsidP="00F051EE">
      <w:pPr>
        <w:spacing w:after="120" w:line="288" w:lineRule="auto"/>
        <w:jc w:val="both"/>
        <w:rPr>
          <w:b/>
          <w:sz w:val="20"/>
          <w:u w:val="single"/>
        </w:rPr>
      </w:pPr>
    </w:p>
    <w:p w14:paraId="24D354D2" w14:textId="652F17EC" w:rsidR="000B7076" w:rsidRPr="00E5152C" w:rsidRDefault="00B42914" w:rsidP="00C83420">
      <w:pPr>
        <w:pStyle w:val="Heading1"/>
        <w:spacing w:before="0"/>
        <w:jc w:val="both"/>
        <w:rPr>
          <w:lang w:val="en-US"/>
        </w:rPr>
      </w:pPr>
      <w:r>
        <w:rPr>
          <w:lang w:val="en-US"/>
        </w:rPr>
        <w:t>Summary of observation and p</w:t>
      </w:r>
      <w:r w:rsidR="00080729">
        <w:rPr>
          <w:lang w:val="en-US"/>
        </w:rPr>
        <w:t>roposal</w:t>
      </w:r>
    </w:p>
    <w:p w14:paraId="141319FF" w14:textId="3E39B892" w:rsidR="00080729" w:rsidRPr="00BD66EA" w:rsidRDefault="00080729" w:rsidP="00080729">
      <w:pPr>
        <w:pStyle w:val="0Maintext"/>
        <w:spacing w:after="120" w:afterAutospacing="0"/>
        <w:rPr>
          <w:lang w:val="en-US" w:eastAsia="ko-KR"/>
        </w:rPr>
      </w:pPr>
      <w:r>
        <w:rPr>
          <w:lang w:val="en-US" w:eastAsia="ko-KR"/>
        </w:rPr>
        <w:t xml:space="preserve">Our analysis in section </w:t>
      </w:r>
      <w:r>
        <w:rPr>
          <w:lang w:val="en-US" w:eastAsia="ko-KR"/>
        </w:rPr>
        <w:fldChar w:fldCharType="begin"/>
      </w:r>
      <w:r>
        <w:rPr>
          <w:lang w:val="en-US" w:eastAsia="ko-KR"/>
        </w:rPr>
        <w:instrText xml:space="preserve"> REF _Ref4456967 \r \h </w:instrText>
      </w:r>
      <w:r>
        <w:rPr>
          <w:lang w:val="en-US" w:eastAsia="ko-KR"/>
        </w:rPr>
      </w:r>
      <w:r>
        <w:rPr>
          <w:lang w:val="en-US" w:eastAsia="ko-KR"/>
        </w:rPr>
        <w:fldChar w:fldCharType="separate"/>
      </w:r>
      <w:r w:rsidR="006C3C44">
        <w:rPr>
          <w:lang w:val="en-US" w:eastAsia="ko-KR"/>
        </w:rPr>
        <w:t>2.1</w:t>
      </w:r>
      <w:r>
        <w:rPr>
          <w:lang w:val="en-US" w:eastAsia="ko-KR"/>
        </w:rPr>
        <w:fldChar w:fldCharType="end"/>
      </w:r>
      <w:r>
        <w:rPr>
          <w:lang w:val="en-US" w:eastAsia="ko-KR"/>
        </w:rPr>
        <w:t xml:space="preserve"> and </w:t>
      </w:r>
      <w:r>
        <w:rPr>
          <w:lang w:val="en-US" w:eastAsia="ko-KR"/>
        </w:rPr>
        <w:fldChar w:fldCharType="begin"/>
      </w:r>
      <w:r>
        <w:rPr>
          <w:lang w:val="en-US" w:eastAsia="ko-KR"/>
        </w:rPr>
        <w:instrText xml:space="preserve"> REF _Ref4456974 \r \h </w:instrText>
      </w:r>
      <w:r>
        <w:rPr>
          <w:lang w:val="en-US" w:eastAsia="ko-KR"/>
        </w:rPr>
      </w:r>
      <w:r>
        <w:rPr>
          <w:lang w:val="en-US" w:eastAsia="ko-KR"/>
        </w:rPr>
        <w:fldChar w:fldCharType="separate"/>
      </w:r>
      <w:r w:rsidR="006C3C44">
        <w:rPr>
          <w:lang w:val="en-US" w:eastAsia="ko-KR"/>
        </w:rPr>
        <w:t>2.2</w:t>
      </w:r>
      <w:r>
        <w:rPr>
          <w:lang w:val="en-US" w:eastAsia="ko-KR"/>
        </w:rPr>
        <w:fldChar w:fldCharType="end"/>
      </w:r>
      <w:r>
        <w:rPr>
          <w:lang w:val="en-US" w:eastAsia="ko-KR"/>
        </w:rPr>
        <w:t xml:space="preserve"> </w:t>
      </w:r>
      <w:r w:rsidRPr="00BD66EA">
        <w:rPr>
          <w:lang w:val="en-US" w:eastAsia="ko-KR"/>
        </w:rPr>
        <w:t xml:space="preserve">leads to the </w:t>
      </w:r>
      <w:r>
        <w:rPr>
          <w:lang w:val="en-US" w:eastAsia="ko-KR"/>
        </w:rPr>
        <w:t xml:space="preserve">following observation and </w:t>
      </w:r>
      <w:r w:rsidRPr="00BD66EA">
        <w:rPr>
          <w:lang w:val="en-US" w:eastAsia="ko-KR"/>
        </w:rPr>
        <w:t>proposal.</w:t>
      </w:r>
    </w:p>
    <w:p w14:paraId="5F0B2341" w14:textId="624962C5" w:rsidR="00080729" w:rsidRDefault="00080729" w:rsidP="00080729">
      <w:pPr>
        <w:pStyle w:val="0Maintext"/>
        <w:spacing w:after="120" w:afterAutospacing="0"/>
        <w:ind w:firstLine="0"/>
        <w:rPr>
          <w:b/>
          <w:u w:val="single"/>
          <w:lang w:val="en-US" w:eastAsia="ko-KR"/>
        </w:rPr>
      </w:pPr>
      <w:r>
        <w:rPr>
          <w:b/>
          <w:u w:val="single"/>
          <w:lang w:val="en-US" w:eastAsia="ko-KR"/>
        </w:rPr>
        <w:t>Observation:</w:t>
      </w:r>
    </w:p>
    <w:p w14:paraId="329F8DF8" w14:textId="77777777" w:rsidR="00D243C8" w:rsidRPr="00D243C8" w:rsidRDefault="00D243C8" w:rsidP="00D243C8">
      <w:pPr>
        <w:pStyle w:val="ListParagraph"/>
        <w:numPr>
          <w:ilvl w:val="0"/>
          <w:numId w:val="30"/>
        </w:numPr>
        <w:spacing w:after="120" w:line="288" w:lineRule="auto"/>
        <w:ind w:leftChars="0"/>
        <w:jc w:val="both"/>
        <w:rPr>
          <w:i/>
          <w:sz w:val="20"/>
        </w:rPr>
      </w:pPr>
      <w:r w:rsidRPr="00D243C8">
        <w:rPr>
          <w:i/>
          <w:sz w:val="20"/>
        </w:rPr>
        <w:t>For multi-beam operation where “long-term” beam metric (such as 38.215 CSI/SSB-SINR or RSRP-weighted SINR) is used:</w:t>
      </w:r>
    </w:p>
    <w:p w14:paraId="6999E58B" w14:textId="367824C1" w:rsidR="00747CE0" w:rsidRDefault="00747CE0" w:rsidP="00747CE0">
      <w:pPr>
        <w:pStyle w:val="ListParagraph"/>
        <w:numPr>
          <w:ilvl w:val="1"/>
          <w:numId w:val="30"/>
        </w:numPr>
        <w:spacing w:after="120" w:line="288" w:lineRule="auto"/>
        <w:ind w:leftChars="0"/>
        <w:jc w:val="both"/>
        <w:rPr>
          <w:i/>
          <w:sz w:val="20"/>
        </w:rPr>
      </w:pPr>
      <w:r>
        <w:rPr>
          <w:i/>
          <w:sz w:val="20"/>
        </w:rPr>
        <w:t xml:space="preserve">If NZP IMR is used, </w:t>
      </w:r>
      <w:r w:rsidR="00D511F9">
        <w:rPr>
          <w:i/>
          <w:sz w:val="20"/>
        </w:rPr>
        <w:t>i</w:t>
      </w:r>
      <w:r w:rsidRPr="00D243C8">
        <w:rPr>
          <w:i/>
          <w:sz w:val="20"/>
        </w:rPr>
        <w:t xml:space="preserve">nterference estimation accuracy is </w:t>
      </w:r>
      <w:r>
        <w:rPr>
          <w:i/>
          <w:sz w:val="20"/>
        </w:rPr>
        <w:t xml:space="preserve">unnecessarily </w:t>
      </w:r>
      <w:r w:rsidRPr="00D243C8">
        <w:rPr>
          <w:i/>
          <w:sz w:val="20"/>
        </w:rPr>
        <w:t xml:space="preserve">impaired due to the need for desired channel component subtraction/cancellation exacerbated </w:t>
      </w:r>
      <w:r w:rsidR="000C4F3C">
        <w:rPr>
          <w:i/>
          <w:sz w:val="20"/>
        </w:rPr>
        <w:t>if</w:t>
      </w:r>
      <w:r w:rsidR="000C4F3C" w:rsidRPr="00D243C8">
        <w:rPr>
          <w:i/>
          <w:sz w:val="20"/>
        </w:rPr>
        <w:t xml:space="preserve"> the lower FD </w:t>
      </w:r>
      <w:r w:rsidR="000C4F3C">
        <w:rPr>
          <w:i/>
          <w:sz w:val="20"/>
        </w:rPr>
        <w:t xml:space="preserve">CSI-RS </w:t>
      </w:r>
      <w:r w:rsidR="000C4F3C" w:rsidRPr="00D243C8">
        <w:rPr>
          <w:i/>
          <w:sz w:val="20"/>
        </w:rPr>
        <w:t>density</w:t>
      </w:r>
      <w:r w:rsidR="000C4F3C">
        <w:rPr>
          <w:i/>
          <w:sz w:val="20"/>
        </w:rPr>
        <w:t xml:space="preserve"> (1 RE/RB) is used</w:t>
      </w:r>
      <w:r w:rsidRPr="00D243C8">
        <w:rPr>
          <w:i/>
          <w:sz w:val="20"/>
        </w:rPr>
        <w:t xml:space="preserve"> </w:t>
      </w:r>
    </w:p>
    <w:p w14:paraId="5007EC13" w14:textId="77777777" w:rsidR="00747CE0" w:rsidRPr="00D243C8" w:rsidRDefault="00747CE0" w:rsidP="00747CE0">
      <w:pPr>
        <w:pStyle w:val="ListParagraph"/>
        <w:numPr>
          <w:ilvl w:val="1"/>
          <w:numId w:val="30"/>
        </w:numPr>
        <w:spacing w:after="120" w:line="288" w:lineRule="auto"/>
        <w:ind w:leftChars="0"/>
        <w:jc w:val="both"/>
        <w:rPr>
          <w:i/>
          <w:sz w:val="20"/>
        </w:rPr>
      </w:pPr>
      <w:r>
        <w:rPr>
          <w:i/>
          <w:sz w:val="20"/>
        </w:rPr>
        <w:t>In terms of resource utilization, both ZP and NZP IMR are dedicated resources. There is no difference in terms of resource usage.</w:t>
      </w:r>
    </w:p>
    <w:p w14:paraId="651EA70E" w14:textId="4C384DA3" w:rsidR="00747CE0" w:rsidRDefault="00D45FFA" w:rsidP="00747CE0">
      <w:pPr>
        <w:pStyle w:val="ListParagraph"/>
        <w:numPr>
          <w:ilvl w:val="0"/>
          <w:numId w:val="30"/>
        </w:numPr>
        <w:spacing w:before="60" w:after="120" w:line="288" w:lineRule="auto"/>
        <w:ind w:leftChars="0"/>
        <w:jc w:val="both"/>
        <w:rPr>
          <w:i/>
          <w:sz w:val="20"/>
        </w:rPr>
      </w:pPr>
      <w:r>
        <w:rPr>
          <w:i/>
          <w:sz w:val="20"/>
        </w:rPr>
        <w:t>There is significant performance degradation with NZP IMR when compared with ZP IMR (up to ~4% in average UPT). The degradation is smaller when 3-RE/RB FD density is used.</w:t>
      </w:r>
      <w:bookmarkStart w:id="5" w:name="_GoBack"/>
      <w:bookmarkEnd w:id="5"/>
      <w:r w:rsidR="00747CE0">
        <w:rPr>
          <w:i/>
          <w:sz w:val="20"/>
        </w:rPr>
        <w:t xml:space="preserve"> </w:t>
      </w:r>
    </w:p>
    <w:p w14:paraId="63FBA63D" w14:textId="77777777" w:rsidR="00747CE0" w:rsidRPr="006C3C44" w:rsidRDefault="00747CE0" w:rsidP="00747CE0">
      <w:pPr>
        <w:pStyle w:val="ListParagraph"/>
        <w:numPr>
          <w:ilvl w:val="0"/>
          <w:numId w:val="30"/>
        </w:numPr>
        <w:spacing w:before="60" w:after="120" w:line="288" w:lineRule="auto"/>
        <w:ind w:leftChars="0"/>
        <w:jc w:val="both"/>
        <w:rPr>
          <w:i/>
          <w:sz w:val="20"/>
        </w:rPr>
      </w:pPr>
      <w:r w:rsidRPr="006C3C44">
        <w:rPr>
          <w:i/>
          <w:sz w:val="20"/>
        </w:rPr>
        <w:t>The TS 38.215 CSI-SINR metric results in lower average and 5% UPT performance</w:t>
      </w:r>
      <w:r w:rsidRPr="006C3C44" w:rsidDel="001C7365">
        <w:rPr>
          <w:i/>
          <w:sz w:val="20"/>
        </w:rPr>
        <w:t xml:space="preserve"> </w:t>
      </w:r>
      <w:r w:rsidRPr="006C3C44">
        <w:rPr>
          <w:i/>
          <w:sz w:val="20"/>
        </w:rPr>
        <w:t>than Rel.15 L1-RSRP metric. Therefore, there is no perceivable benefit from 38.215 SINR in UPT.</w:t>
      </w:r>
    </w:p>
    <w:p w14:paraId="345EFFDA" w14:textId="4735B209" w:rsidR="00080729" w:rsidRPr="00747CE0" w:rsidRDefault="00747CE0" w:rsidP="00747CE0">
      <w:pPr>
        <w:pStyle w:val="ListParagraph"/>
        <w:numPr>
          <w:ilvl w:val="0"/>
          <w:numId w:val="30"/>
        </w:numPr>
        <w:spacing w:before="60" w:after="120" w:line="288" w:lineRule="auto"/>
        <w:ind w:leftChars="0"/>
        <w:jc w:val="both"/>
        <w:rPr>
          <w:i/>
          <w:sz w:val="20"/>
        </w:rPr>
      </w:pPr>
      <w:r w:rsidRPr="006C3C44">
        <w:rPr>
          <w:i/>
          <w:sz w:val="20"/>
        </w:rPr>
        <w:t xml:space="preserve">The proposed RSRP-weighted SINR metric shows large performance gain over both Rel. 15 L1-RSRP and TS 38.215 CSI-SINR metrics.  </w:t>
      </w:r>
    </w:p>
    <w:p w14:paraId="7C4C1EFC" w14:textId="77777777" w:rsidR="00F051EE" w:rsidRPr="00F051EE" w:rsidRDefault="00F051EE" w:rsidP="00D243C8">
      <w:pPr>
        <w:pStyle w:val="0Maintext"/>
        <w:spacing w:after="120" w:afterAutospacing="0"/>
        <w:ind w:left="720" w:firstLine="0"/>
        <w:rPr>
          <w:i/>
          <w:lang w:val="en-US" w:eastAsia="ko-KR"/>
        </w:rPr>
      </w:pPr>
    </w:p>
    <w:p w14:paraId="3BD912D2" w14:textId="0045A139" w:rsidR="00080729" w:rsidRDefault="00080729" w:rsidP="00080729">
      <w:pPr>
        <w:pStyle w:val="0Maintext"/>
        <w:spacing w:after="120" w:afterAutospacing="0"/>
        <w:ind w:firstLine="0"/>
        <w:rPr>
          <w:i/>
          <w:lang w:val="en-US" w:eastAsia="ko-KR"/>
        </w:rPr>
      </w:pPr>
      <w:r w:rsidRPr="003D0865">
        <w:rPr>
          <w:b/>
          <w:u w:val="single"/>
          <w:lang w:val="en-US" w:eastAsia="ko-KR"/>
        </w:rPr>
        <w:lastRenderedPageBreak/>
        <w:t>Proposal</w:t>
      </w:r>
      <w:r w:rsidRPr="003D0865">
        <w:rPr>
          <w:lang w:val="en-US" w:eastAsia="ko-KR"/>
        </w:rPr>
        <w:t>:</w:t>
      </w:r>
      <w:r w:rsidRPr="003D0865">
        <w:rPr>
          <w:i/>
          <w:lang w:val="en-US" w:eastAsia="ko-KR"/>
        </w:rPr>
        <w:t xml:space="preserve"> </w:t>
      </w:r>
      <w:r>
        <w:rPr>
          <w:i/>
          <w:lang w:val="en-US" w:eastAsia="ko-KR"/>
        </w:rPr>
        <w:t>If “interference aware” “long-term” SINR-based beam reporting metric is to be supported in Rel.16, interference measurement for SINR calculation is performed only with ZP IMR</w:t>
      </w:r>
      <w:r w:rsidR="00582D2F">
        <w:rPr>
          <w:i/>
          <w:lang w:val="en-US" w:eastAsia="ko-KR"/>
        </w:rPr>
        <w:t xml:space="preserve"> (Alt1)</w:t>
      </w:r>
    </w:p>
    <w:p w14:paraId="11B3CB33" w14:textId="77777777" w:rsidR="00080729" w:rsidRDefault="00080729" w:rsidP="00080729">
      <w:pPr>
        <w:pStyle w:val="0Maintext"/>
        <w:numPr>
          <w:ilvl w:val="0"/>
          <w:numId w:val="30"/>
        </w:numPr>
        <w:spacing w:after="120" w:afterAutospacing="0"/>
        <w:rPr>
          <w:i/>
          <w:lang w:val="en-US" w:eastAsia="ko-KR"/>
        </w:rPr>
      </w:pPr>
      <w:r>
        <w:rPr>
          <w:i/>
          <w:lang w:val="en-US" w:eastAsia="ko-KR"/>
        </w:rPr>
        <w:t xml:space="preserve">FFS: Whether the ZP IMR can be shared with ZP IMR configured for CSI acquisition.  </w:t>
      </w:r>
    </w:p>
    <w:p w14:paraId="2CCA91EF" w14:textId="77777777" w:rsidR="00D62594" w:rsidRPr="00E5152C" w:rsidRDefault="00D62594" w:rsidP="00D62594">
      <w:pPr>
        <w:pStyle w:val="0Maintext"/>
        <w:spacing w:after="120" w:afterAutospacing="0"/>
        <w:ind w:firstLine="0"/>
        <w:rPr>
          <w:i/>
          <w:lang w:val="en-US"/>
        </w:rPr>
      </w:pPr>
    </w:p>
    <w:p w14:paraId="2AADDA78" w14:textId="77777777" w:rsidR="000F762B" w:rsidRPr="00E5152C" w:rsidRDefault="000F762B" w:rsidP="00FB6F1A">
      <w:pPr>
        <w:pStyle w:val="Heading1"/>
        <w:spacing w:before="0"/>
        <w:jc w:val="both"/>
        <w:rPr>
          <w:lang w:val="en-US"/>
        </w:rPr>
      </w:pPr>
      <w:r w:rsidRPr="00E5152C">
        <w:rPr>
          <w:lang w:val="en-US"/>
        </w:rPr>
        <w:t>References</w:t>
      </w:r>
    </w:p>
    <w:p w14:paraId="031ED45C" w14:textId="3CED1871" w:rsidR="009315B1" w:rsidRDefault="00E10B6A" w:rsidP="00FB6F1A">
      <w:pPr>
        <w:pStyle w:val="2222"/>
        <w:numPr>
          <w:ilvl w:val="0"/>
          <w:numId w:val="5"/>
        </w:numPr>
        <w:spacing w:after="120" w:line="288" w:lineRule="auto"/>
        <w:ind w:left="357" w:firstLineChars="0" w:hanging="357"/>
        <w:rPr>
          <w:sz w:val="20"/>
          <w:lang w:val="en-US" w:eastAsia="ko-KR"/>
        </w:rPr>
      </w:pPr>
      <w:bookmarkStart w:id="6" w:name="_Ref528938279"/>
      <w:r>
        <w:rPr>
          <w:sz w:val="20"/>
          <w:lang w:val="en-US" w:eastAsia="ko-KR"/>
        </w:rPr>
        <w:t xml:space="preserve">3GPP RAN1, </w:t>
      </w:r>
      <w:r w:rsidR="009731D6">
        <w:rPr>
          <w:sz w:val="20"/>
          <w:lang w:val="en-US" w:eastAsia="ko-KR"/>
        </w:rPr>
        <w:t>RAN1#96</w:t>
      </w:r>
      <w:r w:rsidR="009421EA">
        <w:rPr>
          <w:sz w:val="20"/>
          <w:lang w:val="en-US" w:eastAsia="ko-KR"/>
        </w:rPr>
        <w:t xml:space="preserve"> </w:t>
      </w:r>
      <w:r>
        <w:rPr>
          <w:sz w:val="20"/>
          <w:lang w:val="en-US" w:eastAsia="ko-KR"/>
        </w:rPr>
        <w:t>Chairman’s Notes</w:t>
      </w:r>
      <w:bookmarkEnd w:id="6"/>
    </w:p>
    <w:p w14:paraId="31B16C63" w14:textId="38FB2D72" w:rsidR="009421EA" w:rsidRPr="00915C7E" w:rsidRDefault="009421EA" w:rsidP="00FB6F1A">
      <w:pPr>
        <w:pStyle w:val="2222"/>
        <w:numPr>
          <w:ilvl w:val="0"/>
          <w:numId w:val="5"/>
        </w:numPr>
        <w:spacing w:after="120" w:line="288" w:lineRule="auto"/>
        <w:ind w:left="357" w:firstLineChars="0" w:hanging="357"/>
        <w:rPr>
          <w:sz w:val="20"/>
          <w:lang w:val="en-US" w:eastAsia="ko-KR"/>
        </w:rPr>
      </w:pPr>
      <w:bookmarkStart w:id="7" w:name="_Ref528938664"/>
      <w:r>
        <w:rPr>
          <w:sz w:val="20"/>
          <w:lang w:val="en-US" w:eastAsia="ko-KR"/>
        </w:rPr>
        <w:t>3GPP, TS 38.215</w:t>
      </w:r>
      <w:r w:rsidRPr="00E87AA9">
        <w:rPr>
          <w:sz w:val="20"/>
          <w:lang w:val="en-US" w:eastAsia="ko-KR"/>
        </w:rPr>
        <w:t xml:space="preserve">, </w:t>
      </w:r>
      <w:r w:rsidR="00E87AA9" w:rsidRPr="00915C7E">
        <w:rPr>
          <w:iCs/>
          <w:sz w:val="20"/>
          <w:lang w:eastAsia="ko-KR"/>
        </w:rPr>
        <w:t>NR, Physical Layer Measurements</w:t>
      </w:r>
      <w:bookmarkEnd w:id="7"/>
    </w:p>
    <w:p w14:paraId="730B0287" w14:textId="2F57BC7D" w:rsidR="009421EA" w:rsidRPr="00507B4D" w:rsidRDefault="009421EA" w:rsidP="00545F73">
      <w:pPr>
        <w:pStyle w:val="2222"/>
        <w:numPr>
          <w:ilvl w:val="0"/>
          <w:numId w:val="5"/>
        </w:numPr>
        <w:spacing w:after="120" w:line="288" w:lineRule="auto"/>
        <w:ind w:firstLineChars="0"/>
        <w:rPr>
          <w:sz w:val="20"/>
          <w:lang w:val="en-US" w:eastAsia="ko-KR"/>
        </w:rPr>
      </w:pPr>
      <w:bookmarkStart w:id="8" w:name="_Ref528939097"/>
      <w:bookmarkStart w:id="9" w:name="_Ref4458949"/>
      <w:r w:rsidRPr="00915C7E">
        <w:rPr>
          <w:sz w:val="20"/>
          <w:lang w:val="en-US" w:eastAsia="ko-KR"/>
        </w:rPr>
        <w:t xml:space="preserve">3GPP RAN1, </w:t>
      </w:r>
      <w:r w:rsidRPr="003815FE">
        <w:rPr>
          <w:sz w:val="20"/>
          <w:lang w:val="en-US" w:eastAsia="ko-KR"/>
        </w:rPr>
        <w:t>R1-1</w:t>
      </w:r>
      <w:r w:rsidR="00987F70" w:rsidRPr="003815FE">
        <w:rPr>
          <w:sz w:val="20"/>
          <w:lang w:val="en-US" w:eastAsia="ko-KR"/>
        </w:rPr>
        <w:t>9</w:t>
      </w:r>
      <w:r w:rsidR="00915C7E" w:rsidRPr="003815FE">
        <w:rPr>
          <w:sz w:val="20"/>
          <w:lang w:val="en-US" w:eastAsia="ko-KR"/>
        </w:rPr>
        <w:t>0</w:t>
      </w:r>
      <w:r w:rsidR="009611FC">
        <w:rPr>
          <w:sz w:val="20"/>
          <w:lang w:val="en-US" w:eastAsia="ko-KR"/>
        </w:rPr>
        <w:t>6977</w:t>
      </w:r>
      <w:r w:rsidRPr="003815FE">
        <w:rPr>
          <w:sz w:val="20"/>
          <w:lang w:val="en-US" w:eastAsia="ko-KR"/>
        </w:rPr>
        <w:t xml:space="preserve">, </w:t>
      </w:r>
      <w:r w:rsidRPr="003815FE">
        <w:rPr>
          <w:rFonts w:cs="Times New Roman"/>
          <w:sz w:val="20"/>
          <w:lang w:val="en-US" w:eastAsia="ko-KR"/>
        </w:rPr>
        <w:t>Samsung</w:t>
      </w:r>
      <w:r w:rsidRPr="009421EA">
        <w:rPr>
          <w:rFonts w:cs="Times New Roman"/>
          <w:sz w:val="20"/>
          <w:lang w:val="en-US" w:eastAsia="ko-KR"/>
        </w:rPr>
        <w:t xml:space="preserve">, </w:t>
      </w:r>
      <w:bookmarkEnd w:id="8"/>
      <w:r w:rsidR="00545F73" w:rsidRPr="00545F73">
        <w:rPr>
          <w:rFonts w:cs="Times New Roman"/>
          <w:sz w:val="20"/>
        </w:rPr>
        <w:t>Evaluation on SINR metrics for beam selection</w:t>
      </w:r>
      <w:bookmarkEnd w:id="9"/>
    </w:p>
    <w:p w14:paraId="1F9326DF" w14:textId="219857EC" w:rsidR="00507B4D" w:rsidRPr="00D90758" w:rsidRDefault="00507B4D" w:rsidP="00507B4D">
      <w:pPr>
        <w:pStyle w:val="2222"/>
        <w:numPr>
          <w:ilvl w:val="0"/>
          <w:numId w:val="5"/>
        </w:numPr>
        <w:spacing w:after="120" w:line="288" w:lineRule="auto"/>
        <w:ind w:firstLineChars="0"/>
        <w:rPr>
          <w:sz w:val="20"/>
          <w:lang w:val="en-US" w:eastAsia="ko-KR"/>
        </w:rPr>
      </w:pPr>
      <w:bookmarkStart w:id="10" w:name="_Ref4457828"/>
      <w:r w:rsidRPr="00915C7E">
        <w:rPr>
          <w:sz w:val="20"/>
          <w:lang w:val="en-US" w:eastAsia="ko-KR"/>
        </w:rPr>
        <w:t xml:space="preserve">3GPP RAN1, </w:t>
      </w:r>
      <w:r w:rsidRPr="003815FE">
        <w:rPr>
          <w:sz w:val="20"/>
          <w:lang w:val="en-US" w:eastAsia="ko-KR"/>
        </w:rPr>
        <w:t>R1-190</w:t>
      </w:r>
      <w:r w:rsidR="009611FC">
        <w:rPr>
          <w:sz w:val="20"/>
          <w:lang w:val="en-US" w:eastAsia="ko-KR"/>
        </w:rPr>
        <w:t>6969</w:t>
      </w:r>
      <w:r w:rsidRPr="003815FE">
        <w:rPr>
          <w:sz w:val="20"/>
          <w:lang w:val="en-US" w:eastAsia="ko-KR"/>
        </w:rPr>
        <w:t xml:space="preserve">, </w:t>
      </w:r>
      <w:r w:rsidRPr="003815FE">
        <w:rPr>
          <w:rFonts w:cs="Times New Roman"/>
          <w:sz w:val="20"/>
          <w:lang w:val="en-US" w:eastAsia="ko-KR"/>
        </w:rPr>
        <w:t>Samsung</w:t>
      </w:r>
      <w:r w:rsidRPr="009421EA">
        <w:rPr>
          <w:rFonts w:cs="Times New Roman"/>
          <w:sz w:val="20"/>
          <w:lang w:val="en-US" w:eastAsia="ko-KR"/>
        </w:rPr>
        <w:t xml:space="preserve">, </w:t>
      </w:r>
      <w:r>
        <w:rPr>
          <w:rFonts w:cs="Times New Roman"/>
          <w:sz w:val="20"/>
        </w:rPr>
        <w:t>Enhancements on multi-beam operations</w:t>
      </w:r>
      <w:bookmarkEnd w:id="10"/>
    </w:p>
    <w:p w14:paraId="103D5DF7" w14:textId="1D4A8CCC" w:rsidR="00D90758" w:rsidRDefault="00D90758" w:rsidP="00D90758">
      <w:pPr>
        <w:pStyle w:val="2222"/>
        <w:spacing w:after="120" w:line="288" w:lineRule="auto"/>
        <w:ind w:firstLineChars="0" w:firstLine="0"/>
        <w:rPr>
          <w:rFonts w:cs="Times New Roman"/>
          <w:sz w:val="20"/>
        </w:rPr>
      </w:pPr>
    </w:p>
    <w:p w14:paraId="46BFCE38" w14:textId="0E67C704" w:rsidR="00DB70B4" w:rsidRPr="00E5152C" w:rsidRDefault="00DB70B4" w:rsidP="00080729">
      <w:pPr>
        <w:pStyle w:val="Heading1"/>
        <w:numPr>
          <w:ilvl w:val="0"/>
          <w:numId w:val="0"/>
        </w:numPr>
        <w:spacing w:before="0"/>
        <w:ind w:left="799" w:hanging="799"/>
        <w:jc w:val="both"/>
        <w:rPr>
          <w:lang w:val="en-US"/>
        </w:rPr>
      </w:pPr>
      <w:r>
        <w:rPr>
          <w:lang w:val="en-US"/>
        </w:rPr>
        <w:lastRenderedPageBreak/>
        <w:t>Appendix: Simulation assumptions</w:t>
      </w:r>
    </w:p>
    <w:p w14:paraId="5E1BB7A9" w14:textId="0EF23AC8" w:rsidR="00B24CD8" w:rsidRDefault="00B24CD8" w:rsidP="00B24CD8">
      <w:pPr>
        <w:pStyle w:val="Caption"/>
        <w:keepNext/>
        <w:jc w:val="center"/>
        <w:rPr>
          <w:lang w:eastAsia="ko-KR"/>
        </w:rPr>
      </w:pPr>
      <w:bookmarkStart w:id="11" w:name="_Ref525812457"/>
      <w:r>
        <w:t xml:space="preserve">Table </w:t>
      </w:r>
      <w:r>
        <w:fldChar w:fldCharType="begin"/>
      </w:r>
      <w:r>
        <w:instrText xml:space="preserve"> SEQ Table \* ARABIC </w:instrText>
      </w:r>
      <w:r>
        <w:fldChar w:fldCharType="separate"/>
      </w:r>
      <w:r w:rsidR="006C3C44">
        <w:rPr>
          <w:noProof/>
        </w:rPr>
        <w:t>1</w:t>
      </w:r>
      <w:r>
        <w:fldChar w:fldCharType="end"/>
      </w:r>
      <w:bookmarkEnd w:id="11"/>
      <w:r>
        <w:t>: Simulation assumptions</w:t>
      </w:r>
    </w:p>
    <w:tbl>
      <w:tblPr>
        <w:tblW w:w="9787" w:type="dxa"/>
        <w:tblCellMar>
          <w:left w:w="0" w:type="dxa"/>
          <w:right w:w="0" w:type="dxa"/>
        </w:tblCellMar>
        <w:tblLook w:val="04A0" w:firstRow="1" w:lastRow="0" w:firstColumn="1" w:lastColumn="0" w:noHBand="0" w:noVBand="1"/>
      </w:tblPr>
      <w:tblGrid>
        <w:gridCol w:w="3392"/>
        <w:gridCol w:w="6395"/>
      </w:tblGrid>
      <w:tr w:rsidR="00B24CD8" w14:paraId="0836CBDB" w14:textId="77777777" w:rsidTr="00D56AEC">
        <w:trPr>
          <w:trHeight w:val="118"/>
        </w:trPr>
        <w:tc>
          <w:tcPr>
            <w:tcW w:w="3392"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6861BA24" w14:textId="77777777" w:rsidR="00B24CD8" w:rsidRDefault="00B24CD8" w:rsidP="00D56AEC">
            <w:pPr>
              <w:pStyle w:val="tah"/>
              <w:spacing w:line="252" w:lineRule="auto"/>
              <w:rPr>
                <w:rFonts w:eastAsia="Gulim"/>
              </w:rPr>
            </w:pPr>
            <w:r>
              <w:t>Parameters</w:t>
            </w:r>
          </w:p>
        </w:tc>
        <w:tc>
          <w:tcPr>
            <w:tcW w:w="6395"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082ED890" w14:textId="77777777" w:rsidR="00B24CD8" w:rsidRDefault="00B24CD8" w:rsidP="00D56AEC">
            <w:pPr>
              <w:pStyle w:val="tah"/>
              <w:spacing w:line="252" w:lineRule="auto"/>
            </w:pPr>
            <w:r>
              <w:t>Values</w:t>
            </w:r>
          </w:p>
        </w:tc>
      </w:tr>
      <w:tr w:rsidR="00B24CD8" w14:paraId="55989B05" w14:textId="77777777" w:rsidTr="00D56AEC">
        <w:trPr>
          <w:trHeight w:val="419"/>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937453C" w14:textId="77777777" w:rsidR="00B24CD8" w:rsidRDefault="00B24CD8" w:rsidP="00D56AEC">
            <w:pPr>
              <w:pStyle w:val="tal0"/>
              <w:spacing w:line="252" w:lineRule="auto"/>
              <w:jc w:val="both"/>
            </w:pPr>
            <w:r>
              <w:t xml:space="preserve">Scenarios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867DCE0" w14:textId="77777777" w:rsidR="00B24CD8" w:rsidRDefault="00B24CD8" w:rsidP="00D56AEC">
            <w:pPr>
              <w:pStyle w:val="tal0"/>
              <w:spacing w:line="252" w:lineRule="auto"/>
              <w:jc w:val="both"/>
            </w:pPr>
            <w:r>
              <w:t>Dense Urban Macro layer</w:t>
            </w:r>
          </w:p>
          <w:p w14:paraId="63913B30" w14:textId="77777777" w:rsidR="00B24CD8" w:rsidRDefault="00B24CD8" w:rsidP="00D56AEC">
            <w:pPr>
              <w:pStyle w:val="tal0"/>
              <w:spacing w:line="252" w:lineRule="auto"/>
              <w:jc w:val="both"/>
            </w:pPr>
            <w:r>
              <w:rPr>
                <w:color w:val="FF0000"/>
              </w:rPr>
              <w:t xml:space="preserve">Option 1: 2 tier (7 sites with 21 cells) </w:t>
            </w:r>
          </w:p>
        </w:tc>
      </w:tr>
      <w:tr w:rsidR="00B24CD8" w14:paraId="5F78FF98" w14:textId="77777777" w:rsidTr="00D56AEC">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A7FEEF3" w14:textId="77777777" w:rsidR="00B24CD8" w:rsidRDefault="00B24CD8" w:rsidP="00D56AEC">
            <w:pPr>
              <w:pStyle w:val="tal0"/>
              <w:spacing w:line="252" w:lineRule="auto"/>
              <w:jc w:val="both"/>
            </w:pPr>
            <w:r>
              <w:t>Mode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8FEBBD6" w14:textId="77777777" w:rsidR="00B24CD8" w:rsidRDefault="00B24CD8" w:rsidP="00D56AEC">
            <w:pPr>
              <w:pStyle w:val="tal0"/>
              <w:spacing w:line="252" w:lineRule="auto"/>
              <w:jc w:val="both"/>
            </w:pPr>
            <w:r>
              <w:t>DL SU-MIMO</w:t>
            </w:r>
          </w:p>
        </w:tc>
      </w:tr>
      <w:tr w:rsidR="00B24CD8" w14:paraId="0EA61692" w14:textId="77777777" w:rsidTr="00D56AEC">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FF257FD" w14:textId="77777777" w:rsidR="00B24CD8" w:rsidRDefault="00B24CD8" w:rsidP="00D56AEC">
            <w:pPr>
              <w:pStyle w:val="tal0"/>
              <w:spacing w:line="252" w:lineRule="auto"/>
              <w:jc w:val="both"/>
            </w:pPr>
            <w:r>
              <w:t>Simulation bandwidth</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F2662B8" w14:textId="77777777" w:rsidR="00B24CD8" w:rsidRDefault="00B24CD8" w:rsidP="00D56AEC">
            <w:pPr>
              <w:pStyle w:val="tal0"/>
              <w:spacing w:line="252" w:lineRule="auto"/>
              <w:jc w:val="both"/>
            </w:pPr>
            <w:r>
              <w:t>80MHz (DL+UL), TDD</w:t>
            </w:r>
          </w:p>
        </w:tc>
      </w:tr>
      <w:tr w:rsidR="00B24CD8" w14:paraId="46138001" w14:textId="77777777" w:rsidTr="00D56AEC">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4BC9DD5" w14:textId="77777777" w:rsidR="00B24CD8" w:rsidRDefault="00B24CD8" w:rsidP="00D56AEC">
            <w:pPr>
              <w:pStyle w:val="tal0"/>
              <w:spacing w:line="252" w:lineRule="auto"/>
              <w:jc w:val="both"/>
            </w:pPr>
            <w:r>
              <w:t>Subcarrier Spacing for data</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2FFB019" w14:textId="77777777" w:rsidR="00B24CD8" w:rsidRDefault="00B24CD8" w:rsidP="00D56AEC">
            <w:pPr>
              <w:pStyle w:val="tal0"/>
              <w:spacing w:line="252" w:lineRule="auto"/>
              <w:jc w:val="both"/>
            </w:pPr>
            <w:r>
              <w:t>120kHz</w:t>
            </w:r>
          </w:p>
        </w:tc>
      </w:tr>
      <w:tr w:rsidR="00B24CD8" w14:paraId="5992003B" w14:textId="77777777" w:rsidTr="00D56AEC">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52286CB" w14:textId="77777777" w:rsidR="00B24CD8" w:rsidRDefault="00B24CD8" w:rsidP="00D56AEC">
            <w:pPr>
              <w:pStyle w:val="tal0"/>
              <w:spacing w:line="252" w:lineRule="auto"/>
              <w:jc w:val="both"/>
            </w:pPr>
            <w:r>
              <w:t>Channel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89A112E" w14:textId="77777777" w:rsidR="00B24CD8" w:rsidRDefault="00B24CD8" w:rsidP="00D56AEC">
            <w:pPr>
              <w:pStyle w:val="tal0"/>
              <w:spacing w:line="252" w:lineRule="auto"/>
              <w:jc w:val="both"/>
            </w:pPr>
            <w:r>
              <w:rPr>
                <w:color w:val="FF0000"/>
              </w:rPr>
              <w:t>Following related assumption in TR 38.802/38.901</w:t>
            </w:r>
          </w:p>
        </w:tc>
      </w:tr>
      <w:tr w:rsidR="00B24CD8" w14:paraId="658A7551" w14:textId="77777777" w:rsidTr="00D56AEC">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11FAE33" w14:textId="77777777" w:rsidR="00B24CD8" w:rsidRDefault="00B24CD8" w:rsidP="00D56AEC">
            <w:pPr>
              <w:pStyle w:val="tal0"/>
              <w:spacing w:line="252" w:lineRule="auto"/>
              <w:jc w:val="both"/>
            </w:pPr>
            <w: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76AC167" w14:textId="77777777" w:rsidR="00B24CD8" w:rsidRDefault="00B24CD8" w:rsidP="00D56AEC">
            <w:pPr>
              <w:pStyle w:val="tal0"/>
              <w:spacing w:line="252" w:lineRule="auto"/>
              <w:jc w:val="both"/>
            </w:pPr>
            <w:r>
              <w:t xml:space="preserve">2D DFT based beam </w:t>
            </w:r>
            <w:r>
              <w:rPr>
                <w:lang w:val="it-IT"/>
              </w:rPr>
              <w:t>per polarization</w:t>
            </w:r>
          </w:p>
        </w:tc>
      </w:tr>
      <w:tr w:rsidR="00B24CD8" w14:paraId="02FF71C1" w14:textId="77777777" w:rsidTr="00D56AEC">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BC389A8" w14:textId="77777777" w:rsidR="00B24CD8" w:rsidRDefault="00B24CD8" w:rsidP="00D56AEC">
            <w:pPr>
              <w:pStyle w:val="tal0"/>
              <w:spacing w:line="252" w:lineRule="auto"/>
              <w:jc w:val="both"/>
            </w:pPr>
            <w:r>
              <w:t>TXRU mapping weights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784B4B7" w14:textId="77777777" w:rsidR="00B24CD8" w:rsidRDefault="00B24CD8" w:rsidP="00D56AEC">
            <w:pPr>
              <w:pStyle w:val="tal0"/>
              <w:spacing w:line="252" w:lineRule="auto"/>
              <w:jc w:val="both"/>
            </w:pPr>
            <w:r>
              <w:t>gNB: 16 2D DFT beams (4 in azimuth and 4 in zenith)</w:t>
            </w:r>
          </w:p>
          <w:p w14:paraId="6915C3A5" w14:textId="77777777" w:rsidR="00B24CD8" w:rsidRDefault="00B24CD8" w:rsidP="00D56AEC">
            <w:pPr>
              <w:pStyle w:val="tal0"/>
              <w:spacing w:line="252" w:lineRule="auto"/>
              <w:jc w:val="both"/>
            </w:pPr>
            <w:r>
              <w:t>UE: 8 DFT DFT beams (4 in azimuth and 2 in zenith)</w:t>
            </w:r>
          </w:p>
        </w:tc>
      </w:tr>
      <w:tr w:rsidR="00B24CD8" w14:paraId="0627CB5F" w14:textId="77777777" w:rsidTr="00D56AEC">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CBBA04E" w14:textId="77777777" w:rsidR="00B24CD8" w:rsidRDefault="00B24CD8" w:rsidP="00D56AEC">
            <w:pPr>
              <w:pStyle w:val="tal0"/>
              <w:spacing w:line="252" w:lineRule="auto"/>
              <w:jc w:val="both"/>
            </w:pPr>
            <w:r>
              <w:t>Criteria for selection for serving TRP</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50183BD" w14:textId="77777777" w:rsidR="00B24CD8" w:rsidRDefault="00B24CD8" w:rsidP="00D56AEC">
            <w:pPr>
              <w:pStyle w:val="tal0"/>
              <w:spacing w:line="252" w:lineRule="auto"/>
              <w:jc w:val="both"/>
            </w:pPr>
            <w:r>
              <w:t>(Similar to sub-6GHz), based on 1 TXRU at gNB sweeping 16 beams and all TXRUs at UE sweeping 8 beams; metric = max sum received power</w:t>
            </w:r>
          </w:p>
        </w:tc>
      </w:tr>
      <w:tr w:rsidR="00B24CD8" w14:paraId="027CF265" w14:textId="77777777" w:rsidTr="00D56AEC">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FB1A998" w14:textId="77777777" w:rsidR="00B24CD8" w:rsidRDefault="00B24CD8" w:rsidP="00D56AEC">
            <w:pPr>
              <w:pStyle w:val="tal0"/>
              <w:spacing w:line="252" w:lineRule="auto"/>
              <w:jc w:val="both"/>
            </w:pPr>
            <w:r>
              <w:t>Criteria for beam selection for serving TRP</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DC3FAE5" w14:textId="77777777" w:rsidR="00B24CD8" w:rsidRDefault="00B24CD8" w:rsidP="00D56AEC">
            <w:pPr>
              <w:pStyle w:val="tal0"/>
              <w:spacing w:line="252" w:lineRule="auto"/>
              <w:jc w:val="both"/>
            </w:pPr>
            <w:r>
              <w:t>Based on RSRP or 38.215 CSI-SINR metrics</w:t>
            </w:r>
          </w:p>
        </w:tc>
      </w:tr>
      <w:tr w:rsidR="00B24CD8" w14:paraId="219006F8"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E6BBFF2" w14:textId="77777777" w:rsidR="00B24CD8" w:rsidRDefault="00B24CD8" w:rsidP="00D56AEC">
            <w:pPr>
              <w:pStyle w:val="tal0"/>
              <w:spacing w:line="252" w:lineRule="auto"/>
              <w:jc w:val="both"/>
            </w:pPr>
            <w:r>
              <w:t>Constraints for the range of selective beams per TRP sector</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6AF63AF" w14:textId="77777777" w:rsidR="00B24CD8" w:rsidRDefault="00B24CD8" w:rsidP="00D56AEC">
            <w:pPr>
              <w:pStyle w:val="tal0"/>
              <w:spacing w:line="252" w:lineRule="auto"/>
              <w:jc w:val="both"/>
            </w:pPr>
            <w:r>
              <w:t>Uniform in azimuth and zenith: azimuth within 65 degree, and zenith within [0,180]</w:t>
            </w:r>
          </w:p>
        </w:tc>
      </w:tr>
      <w:tr w:rsidR="00B24CD8" w14:paraId="7BC7D657" w14:textId="77777777" w:rsidTr="00D56AEC">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D681C21" w14:textId="77777777" w:rsidR="00B24CD8" w:rsidRDefault="00B24CD8" w:rsidP="00D56AEC">
            <w:pPr>
              <w:pStyle w:val="tal0"/>
              <w:spacing w:line="252" w:lineRule="auto"/>
              <w:jc w:val="both"/>
            </w:pPr>
            <w:r>
              <w:t>Scheduling algorithm</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E0BF522" w14:textId="77777777" w:rsidR="00B24CD8" w:rsidRDefault="00B24CD8" w:rsidP="00D56AEC">
            <w:pPr>
              <w:pStyle w:val="tal0"/>
              <w:spacing w:line="252" w:lineRule="auto"/>
              <w:jc w:val="both"/>
            </w:pPr>
            <w:r>
              <w:t>PF based</w:t>
            </w:r>
          </w:p>
        </w:tc>
      </w:tr>
      <w:tr w:rsidR="00B24CD8" w14:paraId="3EB4855D" w14:textId="77777777" w:rsidTr="00D56AEC">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C76C243" w14:textId="77777777" w:rsidR="00B24CD8" w:rsidRDefault="00B24CD8" w:rsidP="00D56AEC">
            <w:pPr>
              <w:pStyle w:val="tal0"/>
              <w:spacing w:line="252" w:lineRule="auto"/>
              <w:jc w:val="both"/>
            </w:pPr>
            <w:r>
              <w:t>Link adaptation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3076B84" w14:textId="77777777" w:rsidR="00B24CD8" w:rsidRDefault="00B24CD8" w:rsidP="00D56AEC">
            <w:pPr>
              <w:pStyle w:val="tal0"/>
              <w:spacing w:line="252" w:lineRule="auto"/>
              <w:jc w:val="both"/>
            </w:pPr>
            <w:r>
              <w:t>Based on CSI-RS</w:t>
            </w:r>
          </w:p>
        </w:tc>
      </w:tr>
      <w:tr w:rsidR="00B24CD8" w14:paraId="08D273F0" w14:textId="77777777" w:rsidTr="00D56AEC">
        <w:trPr>
          <w:trHeight w:val="366"/>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E6D1588" w14:textId="77777777" w:rsidR="00B24CD8" w:rsidRDefault="00B24CD8" w:rsidP="00D56AEC">
            <w:pPr>
              <w:pStyle w:val="tal0"/>
              <w:spacing w:line="252" w:lineRule="auto"/>
              <w:jc w:val="both"/>
            </w:pPr>
            <w:r>
              <w:t>Traffic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9DFC698" w14:textId="77777777" w:rsidR="00B24CD8" w:rsidRDefault="00B24CD8" w:rsidP="00D56AEC">
            <w:pPr>
              <w:pStyle w:val="tal0"/>
              <w:spacing w:line="252" w:lineRule="auto"/>
              <w:jc w:val="both"/>
            </w:pPr>
            <w:r>
              <w:rPr>
                <w:color w:val="FF0000"/>
              </w:rPr>
              <w:t>FTP model 1 with packet size 0.5Mbytes</w:t>
            </w:r>
          </w:p>
        </w:tc>
      </w:tr>
      <w:tr w:rsidR="00B24CD8" w14:paraId="7581557D"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CB672F1" w14:textId="77777777" w:rsidR="00B24CD8" w:rsidRDefault="00B24CD8" w:rsidP="00D56AEC">
            <w:pPr>
              <w:pStyle w:val="tal0"/>
              <w:spacing w:line="252" w:lineRule="auto"/>
              <w:jc w:val="both"/>
            </w:pPr>
            <w:r>
              <w:t>BS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4E64363B" w14:textId="77777777" w:rsidR="00B24CD8" w:rsidRDefault="00B24CD8" w:rsidP="00D56AEC">
            <w:pPr>
              <w:pStyle w:val="tal0"/>
              <w:spacing w:line="252" w:lineRule="auto"/>
              <w:jc w:val="both"/>
            </w:pPr>
            <w:r>
              <w:rPr>
                <w:color w:val="FF0000"/>
              </w:rPr>
              <w:t>(M, N, P, M</w:t>
            </w:r>
            <w:r>
              <w:rPr>
                <w:color w:val="FF0000"/>
                <w:vertAlign w:val="subscript"/>
              </w:rPr>
              <w:t>g</w:t>
            </w:r>
            <w:r>
              <w:rPr>
                <w:color w:val="FF0000"/>
              </w:rPr>
              <w:t>, N</w:t>
            </w:r>
            <w:r>
              <w:rPr>
                <w:color w:val="FF0000"/>
                <w:vertAlign w:val="subscript"/>
              </w:rPr>
              <w:t xml:space="preserve">g; </w:t>
            </w:r>
            <w:r>
              <w:rPr>
                <w:color w:val="FF0000"/>
              </w:rPr>
              <w:t>M</w:t>
            </w:r>
            <w:r>
              <w:rPr>
                <w:color w:val="FF0000"/>
                <w:vertAlign w:val="subscript"/>
              </w:rPr>
              <w:t xml:space="preserve">p, </w:t>
            </w:r>
            <w:r>
              <w:rPr>
                <w:color w:val="FF0000"/>
              </w:rPr>
              <w:t>N</w:t>
            </w:r>
            <w:r>
              <w:rPr>
                <w:color w:val="FF0000"/>
                <w:vertAlign w:val="subscript"/>
              </w:rPr>
              <w:t>p</w:t>
            </w:r>
            <w:r>
              <w:rPr>
                <w:color w:val="FF0000"/>
              </w:rPr>
              <w:t xml:space="preserve">) = (4, 8, 2, </w:t>
            </w:r>
            <w:r>
              <w:rPr>
                <w:color w:val="FF0000"/>
                <w:u w:val="single"/>
              </w:rPr>
              <w:t>1, 1;</w:t>
            </w:r>
            <w:r>
              <w:rPr>
                <w:color w:val="FF0000"/>
              </w:rPr>
              <w:t xml:space="preserve"> 1, 1). </w:t>
            </w:r>
            <w:r>
              <w:rPr>
                <w:color w:val="FF0000"/>
                <w:lang w:val="sv-SE"/>
              </w:rPr>
              <w:t>(d</w:t>
            </w:r>
            <w:r>
              <w:rPr>
                <w:color w:val="FF0000"/>
                <w:vertAlign w:val="subscript"/>
                <w:lang w:val="sv-SE"/>
              </w:rPr>
              <w:t>V</w:t>
            </w:r>
            <w:r>
              <w:rPr>
                <w:color w:val="FF0000"/>
                <w:lang w:val="sv-SE"/>
              </w:rPr>
              <w:t>, d</w:t>
            </w:r>
            <w:r>
              <w:rPr>
                <w:color w:val="FF0000"/>
                <w:vertAlign w:val="subscript"/>
                <w:lang w:val="sv-SE"/>
              </w:rPr>
              <w:t>H</w:t>
            </w:r>
            <w:r>
              <w:rPr>
                <w:color w:val="FF0000"/>
                <w:lang w:val="sv-SE"/>
              </w:rPr>
              <w:t xml:space="preserve">) = (0.5, 0.5) </w:t>
            </w:r>
            <w:r>
              <w:rPr>
                <w:color w:val="FF0000"/>
              </w:rPr>
              <w:t>λ</w:t>
            </w:r>
          </w:p>
        </w:tc>
      </w:tr>
      <w:tr w:rsidR="00B24CD8" w14:paraId="581558BE"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DB9975D" w14:textId="77777777" w:rsidR="00B24CD8" w:rsidRDefault="00B24CD8" w:rsidP="00D56AEC">
            <w:pPr>
              <w:pStyle w:val="tal0"/>
              <w:spacing w:line="252" w:lineRule="auto"/>
              <w:jc w:val="both"/>
            </w:pPr>
            <w:r>
              <w:t>BS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3F0CDD5" w14:textId="77777777" w:rsidR="00B24CD8" w:rsidRDefault="00B24CD8" w:rsidP="00D56AEC">
            <w:pPr>
              <w:pStyle w:val="tal0"/>
              <w:spacing w:line="252" w:lineRule="auto"/>
              <w:jc w:val="both"/>
            </w:pPr>
            <w:r>
              <w:t>According to TR38.802</w:t>
            </w:r>
          </w:p>
        </w:tc>
      </w:tr>
      <w:tr w:rsidR="00B24CD8" w14:paraId="1EE21A7A" w14:textId="77777777" w:rsidTr="00D56AEC">
        <w:trPr>
          <w:trHeight w:val="79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5FA4E3C" w14:textId="77777777" w:rsidR="00B24CD8" w:rsidRDefault="00B24CD8" w:rsidP="00D56AEC">
            <w:pPr>
              <w:pStyle w:val="tal0"/>
              <w:spacing w:line="252" w:lineRule="auto"/>
              <w:jc w:val="both"/>
            </w:pPr>
            <w:r>
              <w:t>UE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2E982C24" w14:textId="77777777" w:rsidR="00B24CD8" w:rsidRDefault="00B24CD8" w:rsidP="00D56AEC">
            <w:pPr>
              <w:pStyle w:val="tal0"/>
              <w:spacing w:line="252" w:lineRule="auto"/>
              <w:jc w:val="both"/>
            </w:pPr>
            <w:r>
              <w:rPr>
                <w:color w:val="FF0000"/>
              </w:rPr>
              <w:t xml:space="preserve"> (M, N, P, M</w:t>
            </w:r>
            <w:r>
              <w:rPr>
                <w:color w:val="FF0000"/>
                <w:vertAlign w:val="subscript"/>
              </w:rPr>
              <w:t>g</w:t>
            </w:r>
            <w:r>
              <w:rPr>
                <w:color w:val="FF0000"/>
              </w:rPr>
              <w:t>, N</w:t>
            </w:r>
            <w:r>
              <w:rPr>
                <w:color w:val="FF0000"/>
                <w:vertAlign w:val="subscript"/>
              </w:rPr>
              <w:t xml:space="preserve">g; </w:t>
            </w:r>
            <w:r>
              <w:rPr>
                <w:color w:val="FF0000"/>
              </w:rPr>
              <w:t>M</w:t>
            </w:r>
            <w:r>
              <w:rPr>
                <w:color w:val="FF0000"/>
                <w:vertAlign w:val="subscript"/>
              </w:rPr>
              <w:t xml:space="preserve">p, </w:t>
            </w:r>
            <w:r>
              <w:rPr>
                <w:color w:val="FF0000"/>
              </w:rPr>
              <w:t>N</w:t>
            </w:r>
            <w:r>
              <w:rPr>
                <w:color w:val="FF0000"/>
                <w:vertAlign w:val="subscript"/>
              </w:rPr>
              <w:t>p</w:t>
            </w:r>
            <w:r>
              <w:rPr>
                <w:color w:val="FF0000"/>
              </w:rPr>
              <w:t>) = (2, 4, 2, 1, 2; 1, 1); (d</w:t>
            </w:r>
            <w:r>
              <w:rPr>
                <w:color w:val="FF0000"/>
                <w:vertAlign w:val="subscript"/>
              </w:rPr>
              <w:t>V</w:t>
            </w:r>
            <w:r>
              <w:rPr>
                <w:color w:val="FF0000"/>
              </w:rPr>
              <w:t>, d</w:t>
            </w:r>
            <w:r>
              <w:rPr>
                <w:color w:val="FF0000"/>
                <w:vertAlign w:val="subscript"/>
              </w:rPr>
              <w:t>H</w:t>
            </w:r>
            <w:r>
              <w:rPr>
                <w:color w:val="FF0000"/>
              </w:rPr>
              <w:t>) = (0.5, 0.5) λ. (d</w:t>
            </w:r>
            <w:r>
              <w:rPr>
                <w:color w:val="FF0000"/>
                <w:vertAlign w:val="subscript"/>
              </w:rPr>
              <w:t>g,V</w:t>
            </w:r>
            <w:r>
              <w:rPr>
                <w:color w:val="FF0000"/>
              </w:rPr>
              <w:t>, d</w:t>
            </w:r>
            <w:r>
              <w:rPr>
                <w:color w:val="FF0000"/>
                <w:vertAlign w:val="subscript"/>
              </w:rPr>
              <w:t>g,H</w:t>
            </w:r>
            <w:r>
              <w:rPr>
                <w:color w:val="FF0000"/>
              </w:rPr>
              <w:t>) = (0, 0) λ. *Θ</w:t>
            </w:r>
            <w:r>
              <w:rPr>
                <w:color w:val="FF0000"/>
                <w:vertAlign w:val="subscript"/>
              </w:rPr>
              <w:t>mg,ng</w:t>
            </w:r>
            <w:r>
              <w:rPr>
                <w:color w:val="FF0000"/>
              </w:rPr>
              <w:t>=90°; Ω</w:t>
            </w:r>
            <w:r>
              <w:rPr>
                <w:color w:val="FF0000"/>
                <w:vertAlign w:val="subscript"/>
              </w:rPr>
              <w:t>0,1</w:t>
            </w:r>
            <w:r>
              <w:rPr>
                <w:color w:val="FF0000"/>
              </w:rPr>
              <w:t>=Ω</w:t>
            </w:r>
            <w:r>
              <w:rPr>
                <w:color w:val="FF0000"/>
                <w:vertAlign w:val="subscript"/>
              </w:rPr>
              <w:t>0,0</w:t>
            </w:r>
            <w:r>
              <w:rPr>
                <w:color w:val="FF0000"/>
              </w:rPr>
              <w:t>+180°</w:t>
            </w:r>
          </w:p>
        </w:tc>
      </w:tr>
      <w:tr w:rsidR="00B24CD8" w14:paraId="2E3D5265"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31E730A" w14:textId="77777777" w:rsidR="00B24CD8" w:rsidRDefault="00B24CD8" w:rsidP="00D56AEC">
            <w:pPr>
              <w:pStyle w:val="tal0"/>
              <w:spacing w:line="252" w:lineRule="auto"/>
              <w:jc w:val="both"/>
            </w:pPr>
            <w:r>
              <w:t>UE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223033BB" w14:textId="77777777" w:rsidR="00B24CD8" w:rsidRDefault="00B24CD8" w:rsidP="00D56AEC">
            <w:pPr>
              <w:pStyle w:val="tal0"/>
              <w:spacing w:line="252" w:lineRule="auto"/>
              <w:jc w:val="both"/>
            </w:pPr>
            <w:r>
              <w:t>See Table A.2.1-8 in TR 38.802</w:t>
            </w:r>
          </w:p>
        </w:tc>
      </w:tr>
      <w:tr w:rsidR="00B24CD8" w14:paraId="31C7B651"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18EAEC8" w14:textId="77777777" w:rsidR="00B24CD8" w:rsidRDefault="00B24CD8" w:rsidP="00D56AEC">
            <w:pPr>
              <w:pStyle w:val="tal0"/>
              <w:spacing w:line="252" w:lineRule="auto"/>
              <w:jc w:val="both"/>
            </w:pPr>
            <w:r>
              <w:t>Inter-panel calibration for UE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9D3EA13" w14:textId="77777777" w:rsidR="00B24CD8" w:rsidRDefault="00B24CD8" w:rsidP="00D56AEC">
            <w:pPr>
              <w:pStyle w:val="tal0"/>
              <w:spacing w:line="252" w:lineRule="auto"/>
              <w:jc w:val="both"/>
            </w:pPr>
            <w:r>
              <w:rPr>
                <w:rFonts w:ascii="Malgun Gothic" w:eastAsia="Malgun Gothic" w:hAnsi="Malgun Gothic" w:hint="eastAsia"/>
                <w:color w:val="FF0000"/>
              </w:rPr>
              <w:t>Ideal</w:t>
            </w:r>
          </w:p>
        </w:tc>
      </w:tr>
      <w:tr w:rsidR="00B24CD8" w14:paraId="623A10D7"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5AA1771" w14:textId="77777777" w:rsidR="00B24CD8" w:rsidRDefault="00B24CD8" w:rsidP="00D56AEC">
            <w:pPr>
              <w:pStyle w:val="tal0"/>
              <w:spacing w:line="252" w:lineRule="auto"/>
              <w:jc w:val="both"/>
            </w:pPr>
            <w:r>
              <w:t xml:space="preserve">Beam correspondence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95237F8" w14:textId="77777777" w:rsidR="00B24CD8" w:rsidRDefault="00B24CD8" w:rsidP="00D56AEC">
            <w:pPr>
              <w:pStyle w:val="tal0"/>
              <w:spacing w:line="252" w:lineRule="auto"/>
              <w:jc w:val="both"/>
            </w:pPr>
            <w:r>
              <w:t>Ideal</w:t>
            </w:r>
          </w:p>
        </w:tc>
      </w:tr>
      <w:tr w:rsidR="00B24CD8" w14:paraId="5442A282"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8A4E9BC" w14:textId="77777777" w:rsidR="00B24CD8" w:rsidRDefault="00B24CD8" w:rsidP="00D56AEC">
            <w:pPr>
              <w:pStyle w:val="tal0"/>
              <w:spacing w:line="252" w:lineRule="auto"/>
              <w:jc w:val="both"/>
            </w:pPr>
            <w:r>
              <w:t>Control and RS overhead</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9A7C524" w14:textId="77777777" w:rsidR="00B24CD8" w:rsidRDefault="00B24CD8" w:rsidP="00D56AEC">
            <w:pPr>
              <w:pStyle w:val="tal0"/>
              <w:spacing w:line="252" w:lineRule="auto"/>
              <w:jc w:val="both"/>
            </w:pPr>
            <w:r w:rsidRPr="009E5403">
              <w:t>DMRS, CSI-RS, PDCC</w:t>
            </w:r>
            <w:r>
              <w:t>H</w:t>
            </w:r>
          </w:p>
        </w:tc>
      </w:tr>
      <w:tr w:rsidR="00B24CD8" w14:paraId="41F60850"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B614A6B" w14:textId="77777777" w:rsidR="00B24CD8" w:rsidRDefault="00B24CD8" w:rsidP="00D56AEC">
            <w:pPr>
              <w:pStyle w:val="tal0"/>
              <w:spacing w:line="252" w:lineRule="auto"/>
              <w:jc w:val="both"/>
            </w:pPr>
            <w:r>
              <w:t>Control channel decoding</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E70A1A4" w14:textId="77777777" w:rsidR="00B24CD8" w:rsidRDefault="00B24CD8" w:rsidP="00D56AEC">
            <w:pPr>
              <w:pStyle w:val="tal0"/>
              <w:spacing w:line="252" w:lineRule="auto"/>
              <w:jc w:val="both"/>
            </w:pPr>
            <w:r>
              <w:t>Ideal</w:t>
            </w:r>
          </w:p>
        </w:tc>
      </w:tr>
      <w:tr w:rsidR="00B24CD8" w14:paraId="79CD3C5F"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6A9C918" w14:textId="77777777" w:rsidR="00B24CD8" w:rsidRDefault="00B24CD8" w:rsidP="00D56AEC">
            <w:pPr>
              <w:pStyle w:val="tal0"/>
              <w:spacing w:line="252" w:lineRule="auto"/>
              <w:jc w:val="both"/>
            </w:pPr>
            <w:r>
              <w:t>UE receiver type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A946401" w14:textId="77777777" w:rsidR="00B24CD8" w:rsidRDefault="00B24CD8" w:rsidP="00D56AEC">
            <w:pPr>
              <w:pStyle w:val="tal0"/>
              <w:spacing w:line="252" w:lineRule="auto"/>
              <w:jc w:val="both"/>
            </w:pPr>
            <w:r>
              <w:t>MMSE-IRC</w:t>
            </w:r>
          </w:p>
        </w:tc>
      </w:tr>
      <w:tr w:rsidR="00B24CD8" w14:paraId="5F08E022"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19209B0" w14:textId="77777777" w:rsidR="00B24CD8" w:rsidRDefault="00B24CD8" w:rsidP="00D56AEC">
            <w:pPr>
              <w:pStyle w:val="tal0"/>
              <w:spacing w:line="252" w:lineRule="auto"/>
              <w:jc w:val="both"/>
            </w:pPr>
            <w:r>
              <w:t>BF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A8A8478" w14:textId="77777777" w:rsidR="00B24CD8" w:rsidRDefault="00B24CD8" w:rsidP="00D56AEC">
            <w:pPr>
              <w:pStyle w:val="tal0"/>
              <w:spacing w:line="252" w:lineRule="auto"/>
              <w:jc w:val="both"/>
            </w:pPr>
            <w:r>
              <w:t>1 TXRU per polarization per panel</w:t>
            </w:r>
          </w:p>
        </w:tc>
      </w:tr>
      <w:tr w:rsidR="00B24CD8" w14:paraId="3087D035"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28B71CF" w14:textId="77777777" w:rsidR="00B24CD8" w:rsidRDefault="00B24CD8" w:rsidP="00D56AEC">
            <w:pPr>
              <w:pStyle w:val="tal0"/>
              <w:spacing w:line="252" w:lineRule="auto"/>
              <w:jc w:val="both"/>
            </w:pPr>
            <w:r>
              <w:t>Transmission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A99FCE5" w14:textId="77777777" w:rsidR="00B24CD8" w:rsidRDefault="00B24CD8" w:rsidP="00D56AEC">
            <w:pPr>
              <w:pStyle w:val="tal0"/>
              <w:spacing w:line="252" w:lineRule="auto"/>
              <w:jc w:val="both"/>
            </w:pPr>
            <w:r>
              <w:t>Rank 1 only</w:t>
            </w:r>
          </w:p>
        </w:tc>
      </w:tr>
      <w:tr w:rsidR="00B24CD8" w14:paraId="5F9352E2"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54B541F" w14:textId="77777777" w:rsidR="00B24CD8" w:rsidRDefault="00B24CD8" w:rsidP="00D56AEC">
            <w:pPr>
              <w:pStyle w:val="tal0"/>
              <w:spacing w:line="252" w:lineRule="auto"/>
              <w:jc w:val="both"/>
            </w:pPr>
            <w:r>
              <w:t>UE mobility feature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5E7256C" w14:textId="77777777" w:rsidR="00B24CD8" w:rsidRDefault="00B24CD8" w:rsidP="00D56AEC">
            <w:pPr>
              <w:pStyle w:val="tal0"/>
              <w:spacing w:line="252" w:lineRule="auto"/>
              <w:jc w:val="both"/>
            </w:pPr>
            <w:r>
              <w:rPr>
                <w:color w:val="FF0000"/>
              </w:rPr>
              <w:t>Not modelled</w:t>
            </w:r>
          </w:p>
        </w:tc>
      </w:tr>
    </w:tbl>
    <w:p w14:paraId="50082D33" w14:textId="5B4E18D6" w:rsidR="00D90758" w:rsidRPr="00507B4D" w:rsidRDefault="00D90758" w:rsidP="00B24CD8">
      <w:pPr>
        <w:pStyle w:val="2222"/>
        <w:spacing w:after="120" w:line="288" w:lineRule="auto"/>
        <w:ind w:firstLineChars="0" w:firstLine="0"/>
        <w:rPr>
          <w:sz w:val="20"/>
          <w:lang w:val="en-US" w:eastAsia="ko-KR"/>
        </w:rPr>
      </w:pPr>
    </w:p>
    <w:sectPr w:rsidR="00D90758" w:rsidRPr="00507B4D"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9DA94" w14:textId="77777777" w:rsidR="00C4699F" w:rsidRDefault="00C4699F">
      <w:r>
        <w:separator/>
      </w:r>
    </w:p>
  </w:endnote>
  <w:endnote w:type="continuationSeparator" w:id="0">
    <w:p w14:paraId="32A5F6E5" w14:textId="77777777" w:rsidR="00C4699F" w:rsidRDefault="00C4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9A99D" w14:textId="77777777" w:rsidR="00C4699F" w:rsidRDefault="00C4699F">
      <w:r>
        <w:separator/>
      </w:r>
    </w:p>
  </w:footnote>
  <w:footnote w:type="continuationSeparator" w:id="0">
    <w:p w14:paraId="0E83DD3B" w14:textId="77777777" w:rsidR="00C4699F" w:rsidRDefault="00C469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88264A" w:rsidRDefault="008826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C064CA"/>
    <w:multiLevelType w:val="hybridMultilevel"/>
    <w:tmpl w:val="D4C4E34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0F6540CD"/>
    <w:multiLevelType w:val="hybridMultilevel"/>
    <w:tmpl w:val="634E2F2E"/>
    <w:lvl w:ilvl="0" w:tplc="6A4EBC2C">
      <w:start w:val="5"/>
      <w:numFmt w:val="bullet"/>
      <w:lvlText w:val="-"/>
      <w:lvlJc w:val="left"/>
      <w:pPr>
        <w:ind w:left="816" w:hanging="360"/>
      </w:pPr>
      <w:rPr>
        <w:rFonts w:ascii="Times New Roman" w:eastAsia="Batang" w:hAnsi="Times New Roman" w:cs="Times New Roman"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 w15:restartNumberingAfterBreak="0">
    <w:nsid w:val="16A60A9A"/>
    <w:multiLevelType w:val="hybridMultilevel"/>
    <w:tmpl w:val="AB2C3AB8"/>
    <w:lvl w:ilvl="0" w:tplc="1A00D66C">
      <w:start w:val="1"/>
      <w:numFmt w:val="bullet"/>
      <w:lvlText w:val="-"/>
      <w:lvlJc w:val="left"/>
      <w:pPr>
        <w:tabs>
          <w:tab w:val="num" w:pos="720"/>
        </w:tabs>
        <w:ind w:left="720" w:hanging="360"/>
      </w:pPr>
      <w:rPr>
        <w:rFonts w:ascii="Malgun Gothic" w:hAnsi="Malgun Gothic" w:hint="default"/>
      </w:rPr>
    </w:lvl>
    <w:lvl w:ilvl="1" w:tplc="AE6289AE">
      <w:start w:val="1"/>
      <w:numFmt w:val="bullet"/>
      <w:lvlText w:val="-"/>
      <w:lvlJc w:val="left"/>
      <w:pPr>
        <w:tabs>
          <w:tab w:val="num" w:pos="1440"/>
        </w:tabs>
        <w:ind w:left="1440" w:hanging="360"/>
      </w:pPr>
      <w:rPr>
        <w:rFonts w:ascii="Malgun Gothic" w:hAnsi="Malgun Gothic" w:hint="default"/>
      </w:rPr>
    </w:lvl>
    <w:lvl w:ilvl="2" w:tplc="77C0A2A0" w:tentative="1">
      <w:start w:val="1"/>
      <w:numFmt w:val="bullet"/>
      <w:lvlText w:val="-"/>
      <w:lvlJc w:val="left"/>
      <w:pPr>
        <w:tabs>
          <w:tab w:val="num" w:pos="2160"/>
        </w:tabs>
        <w:ind w:left="2160" w:hanging="360"/>
      </w:pPr>
      <w:rPr>
        <w:rFonts w:ascii="Malgun Gothic" w:hAnsi="Malgun Gothic" w:hint="default"/>
      </w:rPr>
    </w:lvl>
    <w:lvl w:ilvl="3" w:tplc="461C1C1C" w:tentative="1">
      <w:start w:val="1"/>
      <w:numFmt w:val="bullet"/>
      <w:lvlText w:val="-"/>
      <w:lvlJc w:val="left"/>
      <w:pPr>
        <w:tabs>
          <w:tab w:val="num" w:pos="2880"/>
        </w:tabs>
        <w:ind w:left="2880" w:hanging="360"/>
      </w:pPr>
      <w:rPr>
        <w:rFonts w:ascii="Malgun Gothic" w:hAnsi="Malgun Gothic" w:hint="default"/>
      </w:rPr>
    </w:lvl>
    <w:lvl w:ilvl="4" w:tplc="C71C16C8" w:tentative="1">
      <w:start w:val="1"/>
      <w:numFmt w:val="bullet"/>
      <w:lvlText w:val="-"/>
      <w:lvlJc w:val="left"/>
      <w:pPr>
        <w:tabs>
          <w:tab w:val="num" w:pos="3600"/>
        </w:tabs>
        <w:ind w:left="3600" w:hanging="360"/>
      </w:pPr>
      <w:rPr>
        <w:rFonts w:ascii="Malgun Gothic" w:hAnsi="Malgun Gothic" w:hint="default"/>
      </w:rPr>
    </w:lvl>
    <w:lvl w:ilvl="5" w:tplc="4F1C6EB6" w:tentative="1">
      <w:start w:val="1"/>
      <w:numFmt w:val="bullet"/>
      <w:lvlText w:val="-"/>
      <w:lvlJc w:val="left"/>
      <w:pPr>
        <w:tabs>
          <w:tab w:val="num" w:pos="4320"/>
        </w:tabs>
        <w:ind w:left="4320" w:hanging="360"/>
      </w:pPr>
      <w:rPr>
        <w:rFonts w:ascii="Malgun Gothic" w:hAnsi="Malgun Gothic" w:hint="default"/>
      </w:rPr>
    </w:lvl>
    <w:lvl w:ilvl="6" w:tplc="DE56364E" w:tentative="1">
      <w:start w:val="1"/>
      <w:numFmt w:val="bullet"/>
      <w:lvlText w:val="-"/>
      <w:lvlJc w:val="left"/>
      <w:pPr>
        <w:tabs>
          <w:tab w:val="num" w:pos="5040"/>
        </w:tabs>
        <w:ind w:left="5040" w:hanging="360"/>
      </w:pPr>
      <w:rPr>
        <w:rFonts w:ascii="Malgun Gothic" w:hAnsi="Malgun Gothic" w:hint="default"/>
      </w:rPr>
    </w:lvl>
    <w:lvl w:ilvl="7" w:tplc="ABC2A0F4" w:tentative="1">
      <w:start w:val="1"/>
      <w:numFmt w:val="bullet"/>
      <w:lvlText w:val="-"/>
      <w:lvlJc w:val="left"/>
      <w:pPr>
        <w:tabs>
          <w:tab w:val="num" w:pos="5760"/>
        </w:tabs>
        <w:ind w:left="5760" w:hanging="360"/>
      </w:pPr>
      <w:rPr>
        <w:rFonts w:ascii="Malgun Gothic" w:hAnsi="Malgun Gothic" w:hint="default"/>
      </w:rPr>
    </w:lvl>
    <w:lvl w:ilvl="8" w:tplc="17AA3EDA" w:tentative="1">
      <w:start w:val="1"/>
      <w:numFmt w:val="bullet"/>
      <w:lvlText w:val="-"/>
      <w:lvlJc w:val="left"/>
      <w:pPr>
        <w:tabs>
          <w:tab w:val="num" w:pos="6480"/>
        </w:tabs>
        <w:ind w:left="6480" w:hanging="360"/>
      </w:pPr>
      <w:rPr>
        <w:rFonts w:ascii="Malgun Gothic" w:hAnsi="Malgun Gothic"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AE7BBA"/>
    <w:multiLevelType w:val="hybridMultilevel"/>
    <w:tmpl w:val="8E723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FA6830"/>
    <w:multiLevelType w:val="hybridMultilevel"/>
    <w:tmpl w:val="EE027FBE"/>
    <w:lvl w:ilvl="0" w:tplc="6A4EBC2C">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A2B02"/>
    <w:multiLevelType w:val="hybridMultilevel"/>
    <w:tmpl w:val="2B748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E7CE4"/>
    <w:multiLevelType w:val="hybridMultilevel"/>
    <w:tmpl w:val="88F6ABDE"/>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9D60DC"/>
    <w:multiLevelType w:val="hybridMultilevel"/>
    <w:tmpl w:val="4D2CDF3E"/>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o"/>
      <w:lvlJc w:val="left"/>
      <w:pPr>
        <w:ind w:left="640" w:hanging="360"/>
      </w:pPr>
      <w:rPr>
        <w:rFonts w:ascii="Courier New" w:hAnsi="Courier New" w:cs="Courier New" w:hint="default"/>
      </w:rPr>
    </w:lvl>
    <w:lvl w:ilvl="2" w:tplc="04090005" w:tentative="1">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17"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CEF5C99"/>
    <w:multiLevelType w:val="hybridMultilevel"/>
    <w:tmpl w:val="4A96B662"/>
    <w:lvl w:ilvl="0" w:tplc="6A0AA338">
      <w:start w:val="1"/>
      <w:numFmt w:val="bullet"/>
      <w:lvlText w:val=""/>
      <w:lvlJc w:val="left"/>
      <w:pPr>
        <w:tabs>
          <w:tab w:val="num" w:pos="720"/>
        </w:tabs>
        <w:ind w:left="720" w:hanging="360"/>
      </w:pPr>
      <w:rPr>
        <w:rFonts w:ascii="Wingdings" w:hAnsi="Wingdings" w:hint="default"/>
      </w:rPr>
    </w:lvl>
    <w:lvl w:ilvl="1" w:tplc="3B7C68DA">
      <w:start w:val="21"/>
      <w:numFmt w:val="bullet"/>
      <w:lvlText w:val="-"/>
      <w:lvlJc w:val="left"/>
      <w:pPr>
        <w:tabs>
          <w:tab w:val="num" w:pos="1440"/>
        </w:tabs>
        <w:ind w:left="1440" w:hanging="360"/>
      </w:pPr>
      <w:rPr>
        <w:rFonts w:ascii="Malgun Gothic" w:hAnsi="Malgun Gothic" w:hint="default"/>
      </w:rPr>
    </w:lvl>
    <w:lvl w:ilvl="2" w:tplc="12FEFF2E">
      <w:start w:val="21"/>
      <w:numFmt w:val="bullet"/>
      <w:lvlText w:val="•"/>
      <w:lvlJc w:val="left"/>
      <w:pPr>
        <w:tabs>
          <w:tab w:val="num" w:pos="2160"/>
        </w:tabs>
        <w:ind w:left="2160" w:hanging="360"/>
      </w:pPr>
      <w:rPr>
        <w:rFonts w:ascii="Arial" w:hAnsi="Arial" w:hint="default"/>
      </w:rPr>
    </w:lvl>
    <w:lvl w:ilvl="3" w:tplc="0FD82A70" w:tentative="1">
      <w:start w:val="1"/>
      <w:numFmt w:val="bullet"/>
      <w:lvlText w:val=""/>
      <w:lvlJc w:val="left"/>
      <w:pPr>
        <w:tabs>
          <w:tab w:val="num" w:pos="2880"/>
        </w:tabs>
        <w:ind w:left="2880" w:hanging="360"/>
      </w:pPr>
      <w:rPr>
        <w:rFonts w:ascii="Wingdings" w:hAnsi="Wingdings" w:hint="default"/>
      </w:rPr>
    </w:lvl>
    <w:lvl w:ilvl="4" w:tplc="975071D6" w:tentative="1">
      <w:start w:val="1"/>
      <w:numFmt w:val="bullet"/>
      <w:lvlText w:val=""/>
      <w:lvlJc w:val="left"/>
      <w:pPr>
        <w:tabs>
          <w:tab w:val="num" w:pos="3600"/>
        </w:tabs>
        <w:ind w:left="3600" w:hanging="360"/>
      </w:pPr>
      <w:rPr>
        <w:rFonts w:ascii="Wingdings" w:hAnsi="Wingdings" w:hint="default"/>
      </w:rPr>
    </w:lvl>
    <w:lvl w:ilvl="5" w:tplc="BC360FCE" w:tentative="1">
      <w:start w:val="1"/>
      <w:numFmt w:val="bullet"/>
      <w:lvlText w:val=""/>
      <w:lvlJc w:val="left"/>
      <w:pPr>
        <w:tabs>
          <w:tab w:val="num" w:pos="4320"/>
        </w:tabs>
        <w:ind w:left="4320" w:hanging="360"/>
      </w:pPr>
      <w:rPr>
        <w:rFonts w:ascii="Wingdings" w:hAnsi="Wingdings" w:hint="default"/>
      </w:rPr>
    </w:lvl>
    <w:lvl w:ilvl="6" w:tplc="A97EB1B6" w:tentative="1">
      <w:start w:val="1"/>
      <w:numFmt w:val="bullet"/>
      <w:lvlText w:val=""/>
      <w:lvlJc w:val="left"/>
      <w:pPr>
        <w:tabs>
          <w:tab w:val="num" w:pos="5040"/>
        </w:tabs>
        <w:ind w:left="5040" w:hanging="360"/>
      </w:pPr>
      <w:rPr>
        <w:rFonts w:ascii="Wingdings" w:hAnsi="Wingdings" w:hint="default"/>
      </w:rPr>
    </w:lvl>
    <w:lvl w:ilvl="7" w:tplc="216466E6" w:tentative="1">
      <w:start w:val="1"/>
      <w:numFmt w:val="bullet"/>
      <w:lvlText w:val=""/>
      <w:lvlJc w:val="left"/>
      <w:pPr>
        <w:tabs>
          <w:tab w:val="num" w:pos="5760"/>
        </w:tabs>
        <w:ind w:left="5760" w:hanging="360"/>
      </w:pPr>
      <w:rPr>
        <w:rFonts w:ascii="Wingdings" w:hAnsi="Wingdings" w:hint="default"/>
      </w:rPr>
    </w:lvl>
    <w:lvl w:ilvl="8" w:tplc="DADE00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3C1015"/>
    <w:multiLevelType w:val="hybridMultilevel"/>
    <w:tmpl w:val="72D2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019ED"/>
    <w:multiLevelType w:val="hybridMultilevel"/>
    <w:tmpl w:val="BB288170"/>
    <w:lvl w:ilvl="0" w:tplc="1CB6F50C">
      <w:start w:val="1"/>
      <w:numFmt w:val="bullet"/>
      <w:lvlText w:val=""/>
      <w:lvlJc w:val="left"/>
      <w:pPr>
        <w:tabs>
          <w:tab w:val="num" w:pos="720"/>
        </w:tabs>
        <w:ind w:left="720" w:hanging="360"/>
      </w:pPr>
      <w:rPr>
        <w:rFonts w:ascii="Wingdings" w:hAnsi="Wingdings" w:hint="default"/>
      </w:rPr>
    </w:lvl>
    <w:lvl w:ilvl="1" w:tplc="926A4F6A">
      <w:start w:val="21"/>
      <w:numFmt w:val="bullet"/>
      <w:lvlText w:val="-"/>
      <w:lvlJc w:val="left"/>
      <w:pPr>
        <w:tabs>
          <w:tab w:val="num" w:pos="1440"/>
        </w:tabs>
        <w:ind w:left="1440" w:hanging="360"/>
      </w:pPr>
      <w:rPr>
        <w:rFonts w:ascii="Malgun Gothic" w:hAnsi="Malgun Gothic" w:hint="default"/>
      </w:rPr>
    </w:lvl>
    <w:lvl w:ilvl="2" w:tplc="1F74F96E">
      <w:start w:val="21"/>
      <w:numFmt w:val="bullet"/>
      <w:lvlText w:val="•"/>
      <w:lvlJc w:val="left"/>
      <w:pPr>
        <w:tabs>
          <w:tab w:val="num" w:pos="2160"/>
        </w:tabs>
        <w:ind w:left="2160" w:hanging="360"/>
      </w:pPr>
      <w:rPr>
        <w:rFonts w:ascii="Arial" w:hAnsi="Arial" w:hint="default"/>
      </w:rPr>
    </w:lvl>
    <w:lvl w:ilvl="3" w:tplc="9488A0E2" w:tentative="1">
      <w:start w:val="1"/>
      <w:numFmt w:val="bullet"/>
      <w:lvlText w:val=""/>
      <w:lvlJc w:val="left"/>
      <w:pPr>
        <w:tabs>
          <w:tab w:val="num" w:pos="2880"/>
        </w:tabs>
        <w:ind w:left="2880" w:hanging="360"/>
      </w:pPr>
      <w:rPr>
        <w:rFonts w:ascii="Wingdings" w:hAnsi="Wingdings" w:hint="default"/>
      </w:rPr>
    </w:lvl>
    <w:lvl w:ilvl="4" w:tplc="8352898C" w:tentative="1">
      <w:start w:val="1"/>
      <w:numFmt w:val="bullet"/>
      <w:lvlText w:val=""/>
      <w:lvlJc w:val="left"/>
      <w:pPr>
        <w:tabs>
          <w:tab w:val="num" w:pos="3600"/>
        </w:tabs>
        <w:ind w:left="3600" w:hanging="360"/>
      </w:pPr>
      <w:rPr>
        <w:rFonts w:ascii="Wingdings" w:hAnsi="Wingdings" w:hint="default"/>
      </w:rPr>
    </w:lvl>
    <w:lvl w:ilvl="5" w:tplc="42FC1418" w:tentative="1">
      <w:start w:val="1"/>
      <w:numFmt w:val="bullet"/>
      <w:lvlText w:val=""/>
      <w:lvlJc w:val="left"/>
      <w:pPr>
        <w:tabs>
          <w:tab w:val="num" w:pos="4320"/>
        </w:tabs>
        <w:ind w:left="4320" w:hanging="360"/>
      </w:pPr>
      <w:rPr>
        <w:rFonts w:ascii="Wingdings" w:hAnsi="Wingdings" w:hint="default"/>
      </w:rPr>
    </w:lvl>
    <w:lvl w:ilvl="6" w:tplc="1FE01E78" w:tentative="1">
      <w:start w:val="1"/>
      <w:numFmt w:val="bullet"/>
      <w:lvlText w:val=""/>
      <w:lvlJc w:val="left"/>
      <w:pPr>
        <w:tabs>
          <w:tab w:val="num" w:pos="5040"/>
        </w:tabs>
        <w:ind w:left="5040" w:hanging="360"/>
      </w:pPr>
      <w:rPr>
        <w:rFonts w:ascii="Wingdings" w:hAnsi="Wingdings" w:hint="default"/>
      </w:rPr>
    </w:lvl>
    <w:lvl w:ilvl="7" w:tplc="498E22D8" w:tentative="1">
      <w:start w:val="1"/>
      <w:numFmt w:val="bullet"/>
      <w:lvlText w:val=""/>
      <w:lvlJc w:val="left"/>
      <w:pPr>
        <w:tabs>
          <w:tab w:val="num" w:pos="5760"/>
        </w:tabs>
        <w:ind w:left="5760" w:hanging="360"/>
      </w:pPr>
      <w:rPr>
        <w:rFonts w:ascii="Wingdings" w:hAnsi="Wingdings" w:hint="default"/>
      </w:rPr>
    </w:lvl>
    <w:lvl w:ilvl="8" w:tplc="3866EAB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8E7DB6"/>
    <w:multiLevelType w:val="hybridMultilevel"/>
    <w:tmpl w:val="186890B8"/>
    <w:lvl w:ilvl="0" w:tplc="48C87B4E">
      <w:start w:val="1"/>
      <w:numFmt w:val="bullet"/>
      <w:lvlText w:val=""/>
      <w:lvlJc w:val="left"/>
      <w:pPr>
        <w:tabs>
          <w:tab w:val="num" w:pos="720"/>
        </w:tabs>
        <w:ind w:left="720" w:hanging="360"/>
      </w:pPr>
      <w:rPr>
        <w:rFonts w:ascii="Wingdings" w:hAnsi="Wingdings" w:hint="default"/>
      </w:rPr>
    </w:lvl>
    <w:lvl w:ilvl="1" w:tplc="DA324E98">
      <w:start w:val="21"/>
      <w:numFmt w:val="bullet"/>
      <w:lvlText w:val="-"/>
      <w:lvlJc w:val="left"/>
      <w:pPr>
        <w:tabs>
          <w:tab w:val="num" w:pos="1440"/>
        </w:tabs>
        <w:ind w:left="1440" w:hanging="360"/>
      </w:pPr>
      <w:rPr>
        <w:rFonts w:ascii="Malgun Gothic" w:hAnsi="Malgun Gothic" w:hint="default"/>
      </w:rPr>
    </w:lvl>
    <w:lvl w:ilvl="2" w:tplc="98D49B4C">
      <w:start w:val="21"/>
      <w:numFmt w:val="bullet"/>
      <w:lvlText w:val="•"/>
      <w:lvlJc w:val="left"/>
      <w:pPr>
        <w:tabs>
          <w:tab w:val="num" w:pos="2160"/>
        </w:tabs>
        <w:ind w:left="2160" w:hanging="360"/>
      </w:pPr>
      <w:rPr>
        <w:rFonts w:ascii="Arial" w:hAnsi="Arial" w:hint="default"/>
      </w:rPr>
    </w:lvl>
    <w:lvl w:ilvl="3" w:tplc="2912EBBE" w:tentative="1">
      <w:start w:val="1"/>
      <w:numFmt w:val="bullet"/>
      <w:lvlText w:val=""/>
      <w:lvlJc w:val="left"/>
      <w:pPr>
        <w:tabs>
          <w:tab w:val="num" w:pos="2880"/>
        </w:tabs>
        <w:ind w:left="2880" w:hanging="360"/>
      </w:pPr>
      <w:rPr>
        <w:rFonts w:ascii="Wingdings" w:hAnsi="Wingdings" w:hint="default"/>
      </w:rPr>
    </w:lvl>
    <w:lvl w:ilvl="4" w:tplc="8F7CE9B4" w:tentative="1">
      <w:start w:val="1"/>
      <w:numFmt w:val="bullet"/>
      <w:lvlText w:val=""/>
      <w:lvlJc w:val="left"/>
      <w:pPr>
        <w:tabs>
          <w:tab w:val="num" w:pos="3600"/>
        </w:tabs>
        <w:ind w:left="3600" w:hanging="360"/>
      </w:pPr>
      <w:rPr>
        <w:rFonts w:ascii="Wingdings" w:hAnsi="Wingdings" w:hint="default"/>
      </w:rPr>
    </w:lvl>
    <w:lvl w:ilvl="5" w:tplc="62A24FD4" w:tentative="1">
      <w:start w:val="1"/>
      <w:numFmt w:val="bullet"/>
      <w:lvlText w:val=""/>
      <w:lvlJc w:val="left"/>
      <w:pPr>
        <w:tabs>
          <w:tab w:val="num" w:pos="4320"/>
        </w:tabs>
        <w:ind w:left="4320" w:hanging="360"/>
      </w:pPr>
      <w:rPr>
        <w:rFonts w:ascii="Wingdings" w:hAnsi="Wingdings" w:hint="default"/>
      </w:rPr>
    </w:lvl>
    <w:lvl w:ilvl="6" w:tplc="F6F6CFB0" w:tentative="1">
      <w:start w:val="1"/>
      <w:numFmt w:val="bullet"/>
      <w:lvlText w:val=""/>
      <w:lvlJc w:val="left"/>
      <w:pPr>
        <w:tabs>
          <w:tab w:val="num" w:pos="5040"/>
        </w:tabs>
        <w:ind w:left="5040" w:hanging="360"/>
      </w:pPr>
      <w:rPr>
        <w:rFonts w:ascii="Wingdings" w:hAnsi="Wingdings" w:hint="default"/>
      </w:rPr>
    </w:lvl>
    <w:lvl w:ilvl="7" w:tplc="375AF126" w:tentative="1">
      <w:start w:val="1"/>
      <w:numFmt w:val="bullet"/>
      <w:lvlText w:val=""/>
      <w:lvlJc w:val="left"/>
      <w:pPr>
        <w:tabs>
          <w:tab w:val="num" w:pos="5760"/>
        </w:tabs>
        <w:ind w:left="5760" w:hanging="360"/>
      </w:pPr>
      <w:rPr>
        <w:rFonts w:ascii="Wingdings" w:hAnsi="Wingdings" w:hint="default"/>
      </w:rPr>
    </w:lvl>
    <w:lvl w:ilvl="8" w:tplc="FE84976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52C54"/>
    <w:multiLevelType w:val="hybridMultilevel"/>
    <w:tmpl w:val="891C7FE6"/>
    <w:lvl w:ilvl="0" w:tplc="1F080044">
      <w:start w:val="1"/>
      <w:numFmt w:val="bullet"/>
      <w:lvlText w:val=""/>
      <w:lvlJc w:val="left"/>
      <w:pPr>
        <w:tabs>
          <w:tab w:val="num" w:pos="720"/>
        </w:tabs>
        <w:ind w:left="720" w:hanging="360"/>
      </w:pPr>
      <w:rPr>
        <w:rFonts w:ascii="Wingdings" w:hAnsi="Wingdings" w:hint="default"/>
      </w:rPr>
    </w:lvl>
    <w:lvl w:ilvl="1" w:tplc="694AB112">
      <w:start w:val="21"/>
      <w:numFmt w:val="bullet"/>
      <w:lvlText w:val="-"/>
      <w:lvlJc w:val="left"/>
      <w:pPr>
        <w:tabs>
          <w:tab w:val="num" w:pos="1440"/>
        </w:tabs>
        <w:ind w:left="1440" w:hanging="360"/>
      </w:pPr>
      <w:rPr>
        <w:rFonts w:ascii="Malgun Gothic" w:hAnsi="Malgun Gothic" w:hint="default"/>
      </w:rPr>
    </w:lvl>
    <w:lvl w:ilvl="2" w:tplc="AEA0D268">
      <w:start w:val="21"/>
      <w:numFmt w:val="bullet"/>
      <w:lvlText w:val="•"/>
      <w:lvlJc w:val="left"/>
      <w:pPr>
        <w:tabs>
          <w:tab w:val="num" w:pos="2160"/>
        </w:tabs>
        <w:ind w:left="2160" w:hanging="360"/>
      </w:pPr>
      <w:rPr>
        <w:rFonts w:ascii="Arial" w:hAnsi="Arial" w:hint="default"/>
      </w:rPr>
    </w:lvl>
    <w:lvl w:ilvl="3" w:tplc="827E99CA" w:tentative="1">
      <w:start w:val="1"/>
      <w:numFmt w:val="bullet"/>
      <w:lvlText w:val=""/>
      <w:lvlJc w:val="left"/>
      <w:pPr>
        <w:tabs>
          <w:tab w:val="num" w:pos="2880"/>
        </w:tabs>
        <w:ind w:left="2880" w:hanging="360"/>
      </w:pPr>
      <w:rPr>
        <w:rFonts w:ascii="Wingdings" w:hAnsi="Wingdings" w:hint="default"/>
      </w:rPr>
    </w:lvl>
    <w:lvl w:ilvl="4" w:tplc="59FEC55C" w:tentative="1">
      <w:start w:val="1"/>
      <w:numFmt w:val="bullet"/>
      <w:lvlText w:val=""/>
      <w:lvlJc w:val="left"/>
      <w:pPr>
        <w:tabs>
          <w:tab w:val="num" w:pos="3600"/>
        </w:tabs>
        <w:ind w:left="3600" w:hanging="360"/>
      </w:pPr>
      <w:rPr>
        <w:rFonts w:ascii="Wingdings" w:hAnsi="Wingdings" w:hint="default"/>
      </w:rPr>
    </w:lvl>
    <w:lvl w:ilvl="5" w:tplc="F298368E" w:tentative="1">
      <w:start w:val="1"/>
      <w:numFmt w:val="bullet"/>
      <w:lvlText w:val=""/>
      <w:lvlJc w:val="left"/>
      <w:pPr>
        <w:tabs>
          <w:tab w:val="num" w:pos="4320"/>
        </w:tabs>
        <w:ind w:left="4320" w:hanging="360"/>
      </w:pPr>
      <w:rPr>
        <w:rFonts w:ascii="Wingdings" w:hAnsi="Wingdings" w:hint="default"/>
      </w:rPr>
    </w:lvl>
    <w:lvl w:ilvl="6" w:tplc="4E6885CA" w:tentative="1">
      <w:start w:val="1"/>
      <w:numFmt w:val="bullet"/>
      <w:lvlText w:val=""/>
      <w:lvlJc w:val="left"/>
      <w:pPr>
        <w:tabs>
          <w:tab w:val="num" w:pos="5040"/>
        </w:tabs>
        <w:ind w:left="5040" w:hanging="360"/>
      </w:pPr>
      <w:rPr>
        <w:rFonts w:ascii="Wingdings" w:hAnsi="Wingdings" w:hint="default"/>
      </w:rPr>
    </w:lvl>
    <w:lvl w:ilvl="7" w:tplc="28D4D9FC" w:tentative="1">
      <w:start w:val="1"/>
      <w:numFmt w:val="bullet"/>
      <w:lvlText w:val=""/>
      <w:lvlJc w:val="left"/>
      <w:pPr>
        <w:tabs>
          <w:tab w:val="num" w:pos="5760"/>
        </w:tabs>
        <w:ind w:left="5760" w:hanging="360"/>
      </w:pPr>
      <w:rPr>
        <w:rFonts w:ascii="Wingdings" w:hAnsi="Wingdings" w:hint="default"/>
      </w:rPr>
    </w:lvl>
    <w:lvl w:ilvl="8" w:tplc="266A1A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602902"/>
    <w:multiLevelType w:val="hybridMultilevel"/>
    <w:tmpl w:val="BD32B2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3F65654"/>
    <w:multiLevelType w:val="hybridMultilevel"/>
    <w:tmpl w:val="598A5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503BAE"/>
    <w:multiLevelType w:val="hybridMultilevel"/>
    <w:tmpl w:val="7938F3E2"/>
    <w:lvl w:ilvl="0" w:tplc="6A4EBC2C">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80860D6"/>
    <w:multiLevelType w:val="hybridMultilevel"/>
    <w:tmpl w:val="54C47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3771EC"/>
    <w:multiLevelType w:val="hybridMultilevel"/>
    <w:tmpl w:val="9544B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23C77"/>
    <w:multiLevelType w:val="hybridMultilevel"/>
    <w:tmpl w:val="ADC6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174C84"/>
    <w:multiLevelType w:val="hybridMultilevel"/>
    <w:tmpl w:val="721E89D4"/>
    <w:lvl w:ilvl="0" w:tplc="6A4EBC2C">
      <w:start w:val="5"/>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5736A2"/>
    <w:multiLevelType w:val="hybridMultilevel"/>
    <w:tmpl w:val="C1A6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CFA10AD"/>
    <w:multiLevelType w:val="hybridMultilevel"/>
    <w:tmpl w:val="E67A9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7"/>
  </w:num>
  <w:num w:numId="2">
    <w:abstractNumId w:val="13"/>
  </w:num>
  <w:num w:numId="3">
    <w:abstractNumId w:val="30"/>
  </w:num>
  <w:num w:numId="4">
    <w:abstractNumId w:val="43"/>
  </w:num>
  <w:num w:numId="5">
    <w:abstractNumId w:val="3"/>
  </w:num>
  <w:num w:numId="6">
    <w:abstractNumId w:val="1"/>
  </w:num>
  <w:num w:numId="7">
    <w:abstractNumId w:val="36"/>
  </w:num>
  <w:num w:numId="8">
    <w:abstractNumId w:val="39"/>
  </w:num>
  <w:num w:numId="9">
    <w:abstractNumId w:val="14"/>
  </w:num>
  <w:num w:numId="10">
    <w:abstractNumId w:val="2"/>
  </w:num>
  <w:num w:numId="11">
    <w:abstractNumId w:val="41"/>
  </w:num>
  <w:num w:numId="12">
    <w:abstractNumId w:val="38"/>
  </w:num>
  <w:num w:numId="13">
    <w:abstractNumId w:val="26"/>
  </w:num>
  <w:num w:numId="14">
    <w:abstractNumId w:val="10"/>
  </w:num>
  <w:num w:numId="15">
    <w:abstractNumId w:val="16"/>
  </w:num>
  <w:num w:numId="16">
    <w:abstractNumId w:val="6"/>
  </w:num>
  <w:num w:numId="17">
    <w:abstractNumId w:val="17"/>
  </w:num>
  <w:num w:numId="18">
    <w:abstractNumId w:val="25"/>
  </w:num>
  <w:num w:numId="19">
    <w:abstractNumId w:val="29"/>
  </w:num>
  <w:num w:numId="20">
    <w:abstractNumId w:val="15"/>
  </w:num>
  <w:num w:numId="21">
    <w:abstractNumId w:val="8"/>
  </w:num>
  <w:num w:numId="22">
    <w:abstractNumId w:val="23"/>
  </w:num>
  <w:num w:numId="23">
    <w:abstractNumId w:val="24"/>
  </w:num>
  <w:num w:numId="24">
    <w:abstractNumId w:val="19"/>
  </w:num>
  <w:num w:numId="25">
    <w:abstractNumId w:val="22"/>
  </w:num>
  <w:num w:numId="26">
    <w:abstractNumId w:val="9"/>
  </w:num>
  <w:num w:numId="27">
    <w:abstractNumId w:val="18"/>
  </w:num>
  <w:num w:numId="28">
    <w:abstractNumId w:val="0"/>
  </w:num>
  <w:num w:numId="29">
    <w:abstractNumId w:val="32"/>
  </w:num>
  <w:num w:numId="30">
    <w:abstractNumId w:val="37"/>
  </w:num>
  <w:num w:numId="31">
    <w:abstractNumId w:val="27"/>
  </w:num>
  <w:num w:numId="32">
    <w:abstractNumId w:val="31"/>
  </w:num>
  <w:num w:numId="33">
    <w:abstractNumId w:val="20"/>
  </w:num>
  <w:num w:numId="34">
    <w:abstractNumId w:val="12"/>
  </w:num>
  <w:num w:numId="35">
    <w:abstractNumId w:val="40"/>
  </w:num>
  <w:num w:numId="36">
    <w:abstractNumId w:val="21"/>
  </w:num>
  <w:num w:numId="37">
    <w:abstractNumId w:val="35"/>
  </w:num>
  <w:num w:numId="38">
    <w:abstractNumId w:val="42"/>
  </w:num>
  <w:num w:numId="39">
    <w:abstractNumId w:val="11"/>
  </w:num>
  <w:num w:numId="40">
    <w:abstractNumId w:val="34"/>
  </w:num>
  <w:num w:numId="41">
    <w:abstractNumId w:val="28"/>
  </w:num>
  <w:num w:numId="42">
    <w:abstractNumId w:val="5"/>
  </w:num>
  <w:num w:numId="43">
    <w:abstractNumId w:val="4"/>
  </w:num>
  <w:num w:numId="44">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94"/>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4BE"/>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47B9"/>
    <w:rsid w:val="00025786"/>
    <w:rsid w:val="000258DB"/>
    <w:rsid w:val="000259F0"/>
    <w:rsid w:val="00025A5B"/>
    <w:rsid w:val="00025A9B"/>
    <w:rsid w:val="00025EB0"/>
    <w:rsid w:val="00026016"/>
    <w:rsid w:val="000263E7"/>
    <w:rsid w:val="00030184"/>
    <w:rsid w:val="000302C5"/>
    <w:rsid w:val="00030EA3"/>
    <w:rsid w:val="00030EA8"/>
    <w:rsid w:val="000318BB"/>
    <w:rsid w:val="00031E6C"/>
    <w:rsid w:val="00032854"/>
    <w:rsid w:val="00033526"/>
    <w:rsid w:val="00034894"/>
    <w:rsid w:val="00035128"/>
    <w:rsid w:val="00035264"/>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3988"/>
    <w:rsid w:val="000447E8"/>
    <w:rsid w:val="000448CA"/>
    <w:rsid w:val="00044B8E"/>
    <w:rsid w:val="00045082"/>
    <w:rsid w:val="00045457"/>
    <w:rsid w:val="00046AB8"/>
    <w:rsid w:val="00046EDE"/>
    <w:rsid w:val="000471AB"/>
    <w:rsid w:val="00047BB7"/>
    <w:rsid w:val="00050113"/>
    <w:rsid w:val="0005019A"/>
    <w:rsid w:val="00050562"/>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358"/>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567"/>
    <w:rsid w:val="00070D5C"/>
    <w:rsid w:val="0007119C"/>
    <w:rsid w:val="000711FF"/>
    <w:rsid w:val="0007143A"/>
    <w:rsid w:val="00072453"/>
    <w:rsid w:val="0007248F"/>
    <w:rsid w:val="00072F70"/>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DD"/>
    <w:rsid w:val="00077E5E"/>
    <w:rsid w:val="00080729"/>
    <w:rsid w:val="00080790"/>
    <w:rsid w:val="000809D7"/>
    <w:rsid w:val="00080F90"/>
    <w:rsid w:val="00080FD7"/>
    <w:rsid w:val="0008106E"/>
    <w:rsid w:val="000812B8"/>
    <w:rsid w:val="000812BC"/>
    <w:rsid w:val="00082A67"/>
    <w:rsid w:val="00082AB7"/>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9C5"/>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7A6"/>
    <w:rsid w:val="000B05CD"/>
    <w:rsid w:val="000B0B99"/>
    <w:rsid w:val="000B132E"/>
    <w:rsid w:val="000B136D"/>
    <w:rsid w:val="000B194F"/>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B7E46"/>
    <w:rsid w:val="000C074E"/>
    <w:rsid w:val="000C13DA"/>
    <w:rsid w:val="000C14C1"/>
    <w:rsid w:val="000C1ABB"/>
    <w:rsid w:val="000C1E5C"/>
    <w:rsid w:val="000C1F19"/>
    <w:rsid w:val="000C1FA8"/>
    <w:rsid w:val="000C20D8"/>
    <w:rsid w:val="000C2DAC"/>
    <w:rsid w:val="000C36A5"/>
    <w:rsid w:val="000C3A4B"/>
    <w:rsid w:val="000C4617"/>
    <w:rsid w:val="000C4DFA"/>
    <w:rsid w:val="000C4F3C"/>
    <w:rsid w:val="000C4FE8"/>
    <w:rsid w:val="000C57C8"/>
    <w:rsid w:val="000C639C"/>
    <w:rsid w:val="000C650F"/>
    <w:rsid w:val="000C67FA"/>
    <w:rsid w:val="000C6B3D"/>
    <w:rsid w:val="000C6C56"/>
    <w:rsid w:val="000C7606"/>
    <w:rsid w:val="000D00DD"/>
    <w:rsid w:val="000D0202"/>
    <w:rsid w:val="000D0866"/>
    <w:rsid w:val="000D0B95"/>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6F9B"/>
    <w:rsid w:val="000D758A"/>
    <w:rsid w:val="000D77B5"/>
    <w:rsid w:val="000E0BE4"/>
    <w:rsid w:val="000E0E6A"/>
    <w:rsid w:val="000E2177"/>
    <w:rsid w:val="000E2201"/>
    <w:rsid w:val="000E24E6"/>
    <w:rsid w:val="000E255E"/>
    <w:rsid w:val="000E2887"/>
    <w:rsid w:val="000E30B3"/>
    <w:rsid w:val="000E3919"/>
    <w:rsid w:val="000E39C2"/>
    <w:rsid w:val="000E436D"/>
    <w:rsid w:val="000E4574"/>
    <w:rsid w:val="000E4777"/>
    <w:rsid w:val="000E48A4"/>
    <w:rsid w:val="000E4A83"/>
    <w:rsid w:val="000E50E2"/>
    <w:rsid w:val="000E512F"/>
    <w:rsid w:val="000E5AD7"/>
    <w:rsid w:val="000E5B1F"/>
    <w:rsid w:val="000E5D98"/>
    <w:rsid w:val="000E600B"/>
    <w:rsid w:val="000E700C"/>
    <w:rsid w:val="000E7166"/>
    <w:rsid w:val="000E7491"/>
    <w:rsid w:val="000F0D83"/>
    <w:rsid w:val="000F173B"/>
    <w:rsid w:val="000F2916"/>
    <w:rsid w:val="000F3224"/>
    <w:rsid w:val="000F3287"/>
    <w:rsid w:val="000F3337"/>
    <w:rsid w:val="000F378F"/>
    <w:rsid w:val="000F3AB3"/>
    <w:rsid w:val="000F3BED"/>
    <w:rsid w:val="000F40F0"/>
    <w:rsid w:val="000F433B"/>
    <w:rsid w:val="000F4EA2"/>
    <w:rsid w:val="000F5D7C"/>
    <w:rsid w:val="000F5E78"/>
    <w:rsid w:val="000F60C9"/>
    <w:rsid w:val="000F6194"/>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152A"/>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131"/>
    <w:rsid w:val="001253F3"/>
    <w:rsid w:val="001260F9"/>
    <w:rsid w:val="001266B0"/>
    <w:rsid w:val="001276EE"/>
    <w:rsid w:val="00127976"/>
    <w:rsid w:val="00127AD3"/>
    <w:rsid w:val="0013023F"/>
    <w:rsid w:val="0013041F"/>
    <w:rsid w:val="00130A5C"/>
    <w:rsid w:val="001313C1"/>
    <w:rsid w:val="00131633"/>
    <w:rsid w:val="00131748"/>
    <w:rsid w:val="001318CE"/>
    <w:rsid w:val="00132444"/>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6EA1"/>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6C"/>
    <w:rsid w:val="00157CFA"/>
    <w:rsid w:val="001610FE"/>
    <w:rsid w:val="001611BF"/>
    <w:rsid w:val="00161363"/>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5F13"/>
    <w:rsid w:val="00166134"/>
    <w:rsid w:val="00166297"/>
    <w:rsid w:val="0016648A"/>
    <w:rsid w:val="00166B45"/>
    <w:rsid w:val="0016793B"/>
    <w:rsid w:val="00167F3F"/>
    <w:rsid w:val="00167F57"/>
    <w:rsid w:val="00170073"/>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0C46"/>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09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910"/>
    <w:rsid w:val="001B5429"/>
    <w:rsid w:val="001B620C"/>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117"/>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4B0"/>
    <w:rsid w:val="001F5F80"/>
    <w:rsid w:val="001F5FF0"/>
    <w:rsid w:val="001F6327"/>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77B"/>
    <w:rsid w:val="00211915"/>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09D2"/>
    <w:rsid w:val="002313FE"/>
    <w:rsid w:val="002315FB"/>
    <w:rsid w:val="00231B6A"/>
    <w:rsid w:val="00231FC3"/>
    <w:rsid w:val="00232AD1"/>
    <w:rsid w:val="002333A3"/>
    <w:rsid w:val="00233868"/>
    <w:rsid w:val="00233A35"/>
    <w:rsid w:val="0023426C"/>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831"/>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465"/>
    <w:rsid w:val="00257528"/>
    <w:rsid w:val="002576FF"/>
    <w:rsid w:val="00257D56"/>
    <w:rsid w:val="00257F7E"/>
    <w:rsid w:val="002602A4"/>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6E57"/>
    <w:rsid w:val="002676D3"/>
    <w:rsid w:val="002679C3"/>
    <w:rsid w:val="0027044A"/>
    <w:rsid w:val="0027050B"/>
    <w:rsid w:val="002705DB"/>
    <w:rsid w:val="00270ACA"/>
    <w:rsid w:val="00270B63"/>
    <w:rsid w:val="002714B9"/>
    <w:rsid w:val="00271FF9"/>
    <w:rsid w:val="002724C1"/>
    <w:rsid w:val="00272C69"/>
    <w:rsid w:val="00272E51"/>
    <w:rsid w:val="002735B6"/>
    <w:rsid w:val="00273861"/>
    <w:rsid w:val="002738B0"/>
    <w:rsid w:val="002738CD"/>
    <w:rsid w:val="00274128"/>
    <w:rsid w:val="002741D4"/>
    <w:rsid w:val="00274425"/>
    <w:rsid w:val="00274B12"/>
    <w:rsid w:val="00274FC6"/>
    <w:rsid w:val="00275093"/>
    <w:rsid w:val="00275487"/>
    <w:rsid w:val="002755CE"/>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A6"/>
    <w:rsid w:val="002831F2"/>
    <w:rsid w:val="002844C1"/>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CCF"/>
    <w:rsid w:val="00296E08"/>
    <w:rsid w:val="00296E64"/>
    <w:rsid w:val="00297378"/>
    <w:rsid w:val="00297A85"/>
    <w:rsid w:val="002A0331"/>
    <w:rsid w:val="002A0796"/>
    <w:rsid w:val="002A0AB0"/>
    <w:rsid w:val="002A16AE"/>
    <w:rsid w:val="002A174F"/>
    <w:rsid w:val="002A183C"/>
    <w:rsid w:val="002A1E47"/>
    <w:rsid w:val="002A1FC3"/>
    <w:rsid w:val="002A2502"/>
    <w:rsid w:val="002A3A3D"/>
    <w:rsid w:val="002A45DC"/>
    <w:rsid w:val="002A4926"/>
    <w:rsid w:val="002A4E5B"/>
    <w:rsid w:val="002A638C"/>
    <w:rsid w:val="002A68BB"/>
    <w:rsid w:val="002A6AAF"/>
    <w:rsid w:val="002A72ED"/>
    <w:rsid w:val="002A74D6"/>
    <w:rsid w:val="002A7CFA"/>
    <w:rsid w:val="002A7F39"/>
    <w:rsid w:val="002B04AA"/>
    <w:rsid w:val="002B2A53"/>
    <w:rsid w:val="002B2C55"/>
    <w:rsid w:val="002B2D29"/>
    <w:rsid w:val="002B35EA"/>
    <w:rsid w:val="002B43B9"/>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1453"/>
    <w:rsid w:val="002C3193"/>
    <w:rsid w:val="002C35A8"/>
    <w:rsid w:val="002C46A5"/>
    <w:rsid w:val="002C48FC"/>
    <w:rsid w:val="002C5809"/>
    <w:rsid w:val="002C6110"/>
    <w:rsid w:val="002C6B30"/>
    <w:rsid w:val="002C7A4B"/>
    <w:rsid w:val="002C7FC8"/>
    <w:rsid w:val="002D0013"/>
    <w:rsid w:val="002D1647"/>
    <w:rsid w:val="002D1E1E"/>
    <w:rsid w:val="002D1E61"/>
    <w:rsid w:val="002D233C"/>
    <w:rsid w:val="002D2CF6"/>
    <w:rsid w:val="002D2EF7"/>
    <w:rsid w:val="002D3111"/>
    <w:rsid w:val="002D3358"/>
    <w:rsid w:val="002D347D"/>
    <w:rsid w:val="002D3552"/>
    <w:rsid w:val="002D3953"/>
    <w:rsid w:val="002D3C7C"/>
    <w:rsid w:val="002D488B"/>
    <w:rsid w:val="002D4C20"/>
    <w:rsid w:val="002D53AF"/>
    <w:rsid w:val="002D579A"/>
    <w:rsid w:val="002D5B2B"/>
    <w:rsid w:val="002D5C2D"/>
    <w:rsid w:val="002D63F6"/>
    <w:rsid w:val="002D6FEE"/>
    <w:rsid w:val="002D717F"/>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F08"/>
    <w:rsid w:val="002F3F46"/>
    <w:rsid w:val="002F41F2"/>
    <w:rsid w:val="002F42D3"/>
    <w:rsid w:val="002F47AD"/>
    <w:rsid w:val="002F5790"/>
    <w:rsid w:val="002F64EA"/>
    <w:rsid w:val="002F64F8"/>
    <w:rsid w:val="002F670E"/>
    <w:rsid w:val="002F6F63"/>
    <w:rsid w:val="002F6FEC"/>
    <w:rsid w:val="002F74B9"/>
    <w:rsid w:val="0030041D"/>
    <w:rsid w:val="00300577"/>
    <w:rsid w:val="003006CA"/>
    <w:rsid w:val="0030083D"/>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0F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B4E"/>
    <w:rsid w:val="003231D5"/>
    <w:rsid w:val="00323455"/>
    <w:rsid w:val="003237AF"/>
    <w:rsid w:val="00323A2B"/>
    <w:rsid w:val="00323B84"/>
    <w:rsid w:val="00323DAD"/>
    <w:rsid w:val="00323E15"/>
    <w:rsid w:val="00324DCD"/>
    <w:rsid w:val="003250F2"/>
    <w:rsid w:val="003254CA"/>
    <w:rsid w:val="003264AA"/>
    <w:rsid w:val="00326FA8"/>
    <w:rsid w:val="0032775A"/>
    <w:rsid w:val="0033019D"/>
    <w:rsid w:val="0033129D"/>
    <w:rsid w:val="003315AA"/>
    <w:rsid w:val="00331F4F"/>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44B"/>
    <w:rsid w:val="00337623"/>
    <w:rsid w:val="00337F97"/>
    <w:rsid w:val="00342A42"/>
    <w:rsid w:val="00342BBD"/>
    <w:rsid w:val="00342C2A"/>
    <w:rsid w:val="00343033"/>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60D0"/>
    <w:rsid w:val="00377151"/>
    <w:rsid w:val="00377BD4"/>
    <w:rsid w:val="00377D5D"/>
    <w:rsid w:val="00380246"/>
    <w:rsid w:val="00380384"/>
    <w:rsid w:val="003815A2"/>
    <w:rsid w:val="003815FE"/>
    <w:rsid w:val="0038169D"/>
    <w:rsid w:val="00381784"/>
    <w:rsid w:val="003818F6"/>
    <w:rsid w:val="003819B1"/>
    <w:rsid w:val="00381A1A"/>
    <w:rsid w:val="0038310A"/>
    <w:rsid w:val="003834E3"/>
    <w:rsid w:val="0038352B"/>
    <w:rsid w:val="003848B0"/>
    <w:rsid w:val="0038584A"/>
    <w:rsid w:val="0038587C"/>
    <w:rsid w:val="00385BEC"/>
    <w:rsid w:val="00385F4D"/>
    <w:rsid w:val="003860B2"/>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0D7C"/>
    <w:rsid w:val="003A1FEF"/>
    <w:rsid w:val="003A2765"/>
    <w:rsid w:val="003A3092"/>
    <w:rsid w:val="003A3178"/>
    <w:rsid w:val="003A367F"/>
    <w:rsid w:val="003A3B7A"/>
    <w:rsid w:val="003A42DA"/>
    <w:rsid w:val="003A4677"/>
    <w:rsid w:val="003A4806"/>
    <w:rsid w:val="003A4BC7"/>
    <w:rsid w:val="003A4C99"/>
    <w:rsid w:val="003A52EC"/>
    <w:rsid w:val="003A55B3"/>
    <w:rsid w:val="003A56AE"/>
    <w:rsid w:val="003A5945"/>
    <w:rsid w:val="003A63F4"/>
    <w:rsid w:val="003A6643"/>
    <w:rsid w:val="003A71FD"/>
    <w:rsid w:val="003A730C"/>
    <w:rsid w:val="003B097E"/>
    <w:rsid w:val="003B0AC6"/>
    <w:rsid w:val="003B19CA"/>
    <w:rsid w:val="003B1B2E"/>
    <w:rsid w:val="003B226F"/>
    <w:rsid w:val="003B246E"/>
    <w:rsid w:val="003B3296"/>
    <w:rsid w:val="003B33FB"/>
    <w:rsid w:val="003B351F"/>
    <w:rsid w:val="003B36A4"/>
    <w:rsid w:val="003B37A4"/>
    <w:rsid w:val="003B37CB"/>
    <w:rsid w:val="003B3C19"/>
    <w:rsid w:val="003B4B65"/>
    <w:rsid w:val="003B5C14"/>
    <w:rsid w:val="003B6B05"/>
    <w:rsid w:val="003B6E83"/>
    <w:rsid w:val="003B7734"/>
    <w:rsid w:val="003B784F"/>
    <w:rsid w:val="003B7C01"/>
    <w:rsid w:val="003C0353"/>
    <w:rsid w:val="003C0D78"/>
    <w:rsid w:val="003C0E66"/>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675"/>
    <w:rsid w:val="003D0865"/>
    <w:rsid w:val="003D0D0E"/>
    <w:rsid w:val="003D1649"/>
    <w:rsid w:val="003D2E5D"/>
    <w:rsid w:val="003D2FCF"/>
    <w:rsid w:val="003D3265"/>
    <w:rsid w:val="003D3E2E"/>
    <w:rsid w:val="003D43ED"/>
    <w:rsid w:val="003D44EF"/>
    <w:rsid w:val="003D45DC"/>
    <w:rsid w:val="003D4697"/>
    <w:rsid w:val="003D4F3B"/>
    <w:rsid w:val="003D6C9B"/>
    <w:rsid w:val="003D79CD"/>
    <w:rsid w:val="003E079D"/>
    <w:rsid w:val="003E0F86"/>
    <w:rsid w:val="003E0FEE"/>
    <w:rsid w:val="003E1753"/>
    <w:rsid w:val="003E188A"/>
    <w:rsid w:val="003E1A1B"/>
    <w:rsid w:val="003E21C4"/>
    <w:rsid w:val="003E2779"/>
    <w:rsid w:val="003E39FF"/>
    <w:rsid w:val="003E4CD4"/>
    <w:rsid w:val="003E633B"/>
    <w:rsid w:val="003E70B4"/>
    <w:rsid w:val="003E793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0AC"/>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B4A"/>
    <w:rsid w:val="00405328"/>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C40"/>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286"/>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304"/>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785"/>
    <w:rsid w:val="0047190A"/>
    <w:rsid w:val="00471D90"/>
    <w:rsid w:val="004721F6"/>
    <w:rsid w:val="004723B0"/>
    <w:rsid w:val="004728C7"/>
    <w:rsid w:val="004729A4"/>
    <w:rsid w:val="0047315F"/>
    <w:rsid w:val="004737E8"/>
    <w:rsid w:val="00473944"/>
    <w:rsid w:val="00474060"/>
    <w:rsid w:val="00474B97"/>
    <w:rsid w:val="00474BDC"/>
    <w:rsid w:val="00474D44"/>
    <w:rsid w:val="00474F44"/>
    <w:rsid w:val="0047525B"/>
    <w:rsid w:val="004752E6"/>
    <w:rsid w:val="004761AF"/>
    <w:rsid w:val="0047692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813"/>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A37"/>
    <w:rsid w:val="00493B65"/>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12C"/>
    <w:rsid w:val="004C657C"/>
    <w:rsid w:val="004C6F31"/>
    <w:rsid w:val="004C7ECC"/>
    <w:rsid w:val="004D026D"/>
    <w:rsid w:val="004D108A"/>
    <w:rsid w:val="004D159C"/>
    <w:rsid w:val="004D1981"/>
    <w:rsid w:val="004D1EEB"/>
    <w:rsid w:val="004D273C"/>
    <w:rsid w:val="004D318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4D13"/>
    <w:rsid w:val="004E5204"/>
    <w:rsid w:val="004E5728"/>
    <w:rsid w:val="004E577A"/>
    <w:rsid w:val="004E6011"/>
    <w:rsid w:val="004E685A"/>
    <w:rsid w:val="004E6C95"/>
    <w:rsid w:val="004E7049"/>
    <w:rsid w:val="004F040F"/>
    <w:rsid w:val="004F120F"/>
    <w:rsid w:val="004F17BB"/>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1C"/>
    <w:rsid w:val="00507091"/>
    <w:rsid w:val="00507498"/>
    <w:rsid w:val="005074C4"/>
    <w:rsid w:val="005079CC"/>
    <w:rsid w:val="00507B4D"/>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C6B"/>
    <w:rsid w:val="0053347D"/>
    <w:rsid w:val="005334EA"/>
    <w:rsid w:val="00533D37"/>
    <w:rsid w:val="0053421C"/>
    <w:rsid w:val="00534DF6"/>
    <w:rsid w:val="00535E8C"/>
    <w:rsid w:val="00535F4F"/>
    <w:rsid w:val="00536865"/>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5F73"/>
    <w:rsid w:val="00547B30"/>
    <w:rsid w:val="00550050"/>
    <w:rsid w:val="00550246"/>
    <w:rsid w:val="00550983"/>
    <w:rsid w:val="00550C88"/>
    <w:rsid w:val="005515AC"/>
    <w:rsid w:val="00551667"/>
    <w:rsid w:val="0055167A"/>
    <w:rsid w:val="005518B3"/>
    <w:rsid w:val="00551F3A"/>
    <w:rsid w:val="005529F9"/>
    <w:rsid w:val="00553AF5"/>
    <w:rsid w:val="00553BD7"/>
    <w:rsid w:val="0055421A"/>
    <w:rsid w:val="005544AF"/>
    <w:rsid w:val="00554B5E"/>
    <w:rsid w:val="00554F61"/>
    <w:rsid w:val="005555E2"/>
    <w:rsid w:val="0055591D"/>
    <w:rsid w:val="00555F2F"/>
    <w:rsid w:val="005563C8"/>
    <w:rsid w:val="00556925"/>
    <w:rsid w:val="00557758"/>
    <w:rsid w:val="0056001D"/>
    <w:rsid w:val="00560F03"/>
    <w:rsid w:val="00561208"/>
    <w:rsid w:val="00562126"/>
    <w:rsid w:val="005625B4"/>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4C9"/>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D2F"/>
    <w:rsid w:val="00582FF7"/>
    <w:rsid w:val="00583595"/>
    <w:rsid w:val="0058377A"/>
    <w:rsid w:val="00583CEF"/>
    <w:rsid w:val="00583D9F"/>
    <w:rsid w:val="00583F4D"/>
    <w:rsid w:val="0058443F"/>
    <w:rsid w:val="0058459F"/>
    <w:rsid w:val="0058463D"/>
    <w:rsid w:val="0058493F"/>
    <w:rsid w:val="005849C2"/>
    <w:rsid w:val="0058555C"/>
    <w:rsid w:val="00585690"/>
    <w:rsid w:val="00585900"/>
    <w:rsid w:val="00586684"/>
    <w:rsid w:val="00587CDA"/>
    <w:rsid w:val="00587E75"/>
    <w:rsid w:val="00587E7F"/>
    <w:rsid w:val="0059077E"/>
    <w:rsid w:val="00590DDD"/>
    <w:rsid w:val="00590E08"/>
    <w:rsid w:val="00590F33"/>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5FB"/>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519D"/>
    <w:rsid w:val="005C5AF9"/>
    <w:rsid w:val="005C5D9C"/>
    <w:rsid w:val="005C6627"/>
    <w:rsid w:val="005C6895"/>
    <w:rsid w:val="005C6EC6"/>
    <w:rsid w:val="005C70AD"/>
    <w:rsid w:val="005C73BA"/>
    <w:rsid w:val="005C7499"/>
    <w:rsid w:val="005C7597"/>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E05B0"/>
    <w:rsid w:val="005E17AB"/>
    <w:rsid w:val="005E1F7E"/>
    <w:rsid w:val="005E2034"/>
    <w:rsid w:val="005E2846"/>
    <w:rsid w:val="005E3057"/>
    <w:rsid w:val="005E334A"/>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17F1D"/>
    <w:rsid w:val="00620B19"/>
    <w:rsid w:val="00620FE9"/>
    <w:rsid w:val="00621018"/>
    <w:rsid w:val="0062196D"/>
    <w:rsid w:val="00622A73"/>
    <w:rsid w:val="00623446"/>
    <w:rsid w:val="00624039"/>
    <w:rsid w:val="00624B7A"/>
    <w:rsid w:val="006255CB"/>
    <w:rsid w:val="00625867"/>
    <w:rsid w:val="00626677"/>
    <w:rsid w:val="00626DAF"/>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0A7B"/>
    <w:rsid w:val="006515BC"/>
    <w:rsid w:val="00651824"/>
    <w:rsid w:val="00651971"/>
    <w:rsid w:val="00651A61"/>
    <w:rsid w:val="00652F37"/>
    <w:rsid w:val="0065341A"/>
    <w:rsid w:val="00653883"/>
    <w:rsid w:val="0065399E"/>
    <w:rsid w:val="00653A11"/>
    <w:rsid w:val="00654318"/>
    <w:rsid w:val="006553D8"/>
    <w:rsid w:val="00655BFC"/>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3F90"/>
    <w:rsid w:val="0067495A"/>
    <w:rsid w:val="00674DB7"/>
    <w:rsid w:val="00675513"/>
    <w:rsid w:val="00675B97"/>
    <w:rsid w:val="00675C00"/>
    <w:rsid w:val="0067690C"/>
    <w:rsid w:val="00676B04"/>
    <w:rsid w:val="00676E1E"/>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3010"/>
    <w:rsid w:val="006A3A20"/>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55E"/>
    <w:rsid w:val="006B7CD4"/>
    <w:rsid w:val="006B7F3F"/>
    <w:rsid w:val="006C0965"/>
    <w:rsid w:val="006C0B63"/>
    <w:rsid w:val="006C0E3C"/>
    <w:rsid w:val="006C110E"/>
    <w:rsid w:val="006C1B5A"/>
    <w:rsid w:val="006C292A"/>
    <w:rsid w:val="006C2CEB"/>
    <w:rsid w:val="006C2DF3"/>
    <w:rsid w:val="006C388A"/>
    <w:rsid w:val="006C38E8"/>
    <w:rsid w:val="006C3C42"/>
    <w:rsid w:val="006C3C44"/>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0F0"/>
    <w:rsid w:val="006D27B2"/>
    <w:rsid w:val="006D2A93"/>
    <w:rsid w:val="006D2ED0"/>
    <w:rsid w:val="006D2F0E"/>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4DC0"/>
    <w:rsid w:val="006E5065"/>
    <w:rsid w:val="006E51B2"/>
    <w:rsid w:val="006E5428"/>
    <w:rsid w:val="006E56B9"/>
    <w:rsid w:val="006E5D8C"/>
    <w:rsid w:val="006E6752"/>
    <w:rsid w:val="006E6A76"/>
    <w:rsid w:val="006E6B61"/>
    <w:rsid w:val="006E6FCA"/>
    <w:rsid w:val="006E760D"/>
    <w:rsid w:val="006E7C6E"/>
    <w:rsid w:val="006F02EA"/>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42F"/>
    <w:rsid w:val="006F6EF9"/>
    <w:rsid w:val="006F7607"/>
    <w:rsid w:val="006F79E1"/>
    <w:rsid w:val="006F7BCF"/>
    <w:rsid w:val="0070057C"/>
    <w:rsid w:val="0070274F"/>
    <w:rsid w:val="0070326A"/>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726"/>
    <w:rsid w:val="0071081E"/>
    <w:rsid w:val="00710B21"/>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5549"/>
    <w:rsid w:val="00725700"/>
    <w:rsid w:val="00725960"/>
    <w:rsid w:val="00727282"/>
    <w:rsid w:val="00727707"/>
    <w:rsid w:val="007302D0"/>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28F"/>
    <w:rsid w:val="007418C1"/>
    <w:rsid w:val="00741A37"/>
    <w:rsid w:val="00741B82"/>
    <w:rsid w:val="007432BF"/>
    <w:rsid w:val="0074432F"/>
    <w:rsid w:val="007447DC"/>
    <w:rsid w:val="00746934"/>
    <w:rsid w:val="00746D48"/>
    <w:rsid w:val="00746E89"/>
    <w:rsid w:val="00747CE0"/>
    <w:rsid w:val="007509C8"/>
    <w:rsid w:val="00750A02"/>
    <w:rsid w:val="00750E72"/>
    <w:rsid w:val="0075111A"/>
    <w:rsid w:val="00751164"/>
    <w:rsid w:val="00751ADC"/>
    <w:rsid w:val="00751C96"/>
    <w:rsid w:val="00751F82"/>
    <w:rsid w:val="00751FA5"/>
    <w:rsid w:val="007533CE"/>
    <w:rsid w:val="007539DF"/>
    <w:rsid w:val="00753A41"/>
    <w:rsid w:val="00754BFF"/>
    <w:rsid w:val="0075521C"/>
    <w:rsid w:val="00755AD7"/>
    <w:rsid w:val="00755DB3"/>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0AB"/>
    <w:rsid w:val="00775996"/>
    <w:rsid w:val="00775DF0"/>
    <w:rsid w:val="0077688F"/>
    <w:rsid w:val="007769B3"/>
    <w:rsid w:val="00776D43"/>
    <w:rsid w:val="00776D92"/>
    <w:rsid w:val="00776FB7"/>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5E76"/>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A70"/>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290"/>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12EA"/>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079"/>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58B"/>
    <w:rsid w:val="007F16C9"/>
    <w:rsid w:val="007F19B0"/>
    <w:rsid w:val="007F2956"/>
    <w:rsid w:val="007F2AE3"/>
    <w:rsid w:val="007F2E29"/>
    <w:rsid w:val="007F3BEB"/>
    <w:rsid w:val="007F3C75"/>
    <w:rsid w:val="007F3F53"/>
    <w:rsid w:val="007F400E"/>
    <w:rsid w:val="007F407C"/>
    <w:rsid w:val="007F48C4"/>
    <w:rsid w:val="007F5809"/>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09"/>
    <w:rsid w:val="008106D5"/>
    <w:rsid w:val="00810FF3"/>
    <w:rsid w:val="00811C29"/>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D4F"/>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051"/>
    <w:rsid w:val="008340EF"/>
    <w:rsid w:val="00834278"/>
    <w:rsid w:val="008348F8"/>
    <w:rsid w:val="00834E69"/>
    <w:rsid w:val="008353DB"/>
    <w:rsid w:val="00835CD4"/>
    <w:rsid w:val="008363CA"/>
    <w:rsid w:val="0083669C"/>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4F1"/>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EE"/>
    <w:rsid w:val="00867539"/>
    <w:rsid w:val="008677FE"/>
    <w:rsid w:val="00867D71"/>
    <w:rsid w:val="00870087"/>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264A"/>
    <w:rsid w:val="008830D9"/>
    <w:rsid w:val="008835D0"/>
    <w:rsid w:val="00884284"/>
    <w:rsid w:val="008843F0"/>
    <w:rsid w:val="00884784"/>
    <w:rsid w:val="00884FE0"/>
    <w:rsid w:val="0088519F"/>
    <w:rsid w:val="008852E8"/>
    <w:rsid w:val="00885D44"/>
    <w:rsid w:val="00885D8B"/>
    <w:rsid w:val="00885DF4"/>
    <w:rsid w:val="00886398"/>
    <w:rsid w:val="00886943"/>
    <w:rsid w:val="008869C5"/>
    <w:rsid w:val="00887406"/>
    <w:rsid w:val="008876A1"/>
    <w:rsid w:val="008903AE"/>
    <w:rsid w:val="00891393"/>
    <w:rsid w:val="00891CA3"/>
    <w:rsid w:val="00891D7B"/>
    <w:rsid w:val="00892EF8"/>
    <w:rsid w:val="00893197"/>
    <w:rsid w:val="008931E8"/>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6ED3"/>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36D"/>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E0543"/>
    <w:rsid w:val="008E0653"/>
    <w:rsid w:val="008E1091"/>
    <w:rsid w:val="008E1461"/>
    <w:rsid w:val="008E158C"/>
    <w:rsid w:val="008E1CBB"/>
    <w:rsid w:val="008E1EB9"/>
    <w:rsid w:val="008E334D"/>
    <w:rsid w:val="008E351D"/>
    <w:rsid w:val="008E4757"/>
    <w:rsid w:val="008E4A94"/>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B8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5C7E"/>
    <w:rsid w:val="009161FF"/>
    <w:rsid w:val="00916D0D"/>
    <w:rsid w:val="009170D7"/>
    <w:rsid w:val="0091722F"/>
    <w:rsid w:val="009175CC"/>
    <w:rsid w:val="00917BD8"/>
    <w:rsid w:val="00917D06"/>
    <w:rsid w:val="0092003A"/>
    <w:rsid w:val="00920696"/>
    <w:rsid w:val="009215B6"/>
    <w:rsid w:val="00921C94"/>
    <w:rsid w:val="00921C98"/>
    <w:rsid w:val="0092441A"/>
    <w:rsid w:val="00924784"/>
    <w:rsid w:val="00924D90"/>
    <w:rsid w:val="00924FF6"/>
    <w:rsid w:val="00925017"/>
    <w:rsid w:val="009250C9"/>
    <w:rsid w:val="0092530C"/>
    <w:rsid w:val="0092567C"/>
    <w:rsid w:val="00926844"/>
    <w:rsid w:val="009276B6"/>
    <w:rsid w:val="0093034C"/>
    <w:rsid w:val="00931412"/>
    <w:rsid w:val="009315B1"/>
    <w:rsid w:val="009316C8"/>
    <w:rsid w:val="00931A0D"/>
    <w:rsid w:val="00931E59"/>
    <w:rsid w:val="009320F2"/>
    <w:rsid w:val="009322F2"/>
    <w:rsid w:val="00932ECC"/>
    <w:rsid w:val="0093319A"/>
    <w:rsid w:val="0093337C"/>
    <w:rsid w:val="00933BB5"/>
    <w:rsid w:val="00934C6C"/>
    <w:rsid w:val="00935448"/>
    <w:rsid w:val="00935760"/>
    <w:rsid w:val="009360EA"/>
    <w:rsid w:val="009360F0"/>
    <w:rsid w:val="0093725F"/>
    <w:rsid w:val="00937E33"/>
    <w:rsid w:val="0094107A"/>
    <w:rsid w:val="009419E1"/>
    <w:rsid w:val="009421EA"/>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5AEA"/>
    <w:rsid w:val="009564A8"/>
    <w:rsid w:val="0095778B"/>
    <w:rsid w:val="00957DBD"/>
    <w:rsid w:val="00960311"/>
    <w:rsid w:val="009611FC"/>
    <w:rsid w:val="0096216B"/>
    <w:rsid w:val="0096225A"/>
    <w:rsid w:val="009632C9"/>
    <w:rsid w:val="00963A1D"/>
    <w:rsid w:val="00963FE9"/>
    <w:rsid w:val="00966712"/>
    <w:rsid w:val="00966A6B"/>
    <w:rsid w:val="00967D6D"/>
    <w:rsid w:val="00970595"/>
    <w:rsid w:val="0097072D"/>
    <w:rsid w:val="009716DD"/>
    <w:rsid w:val="00971D60"/>
    <w:rsid w:val="0097230F"/>
    <w:rsid w:val="009727C5"/>
    <w:rsid w:val="00972D70"/>
    <w:rsid w:val="00972DE2"/>
    <w:rsid w:val="009731D6"/>
    <w:rsid w:val="00973317"/>
    <w:rsid w:val="00973388"/>
    <w:rsid w:val="009742CE"/>
    <w:rsid w:val="00974F34"/>
    <w:rsid w:val="0097584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87F70"/>
    <w:rsid w:val="00990DD9"/>
    <w:rsid w:val="00991268"/>
    <w:rsid w:val="00991371"/>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509"/>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1B6D"/>
    <w:rsid w:val="009C27D6"/>
    <w:rsid w:val="009C2DD9"/>
    <w:rsid w:val="009C30D9"/>
    <w:rsid w:val="009C3A0D"/>
    <w:rsid w:val="009C43E2"/>
    <w:rsid w:val="009C4D18"/>
    <w:rsid w:val="009C4F55"/>
    <w:rsid w:val="009C587C"/>
    <w:rsid w:val="009C5FD3"/>
    <w:rsid w:val="009C614B"/>
    <w:rsid w:val="009C6171"/>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396"/>
    <w:rsid w:val="009F5738"/>
    <w:rsid w:val="009F59A7"/>
    <w:rsid w:val="009F5B4F"/>
    <w:rsid w:val="009F64CD"/>
    <w:rsid w:val="009F6A3E"/>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79"/>
    <w:rsid w:val="00A320C7"/>
    <w:rsid w:val="00A3245B"/>
    <w:rsid w:val="00A328DA"/>
    <w:rsid w:val="00A32C89"/>
    <w:rsid w:val="00A33604"/>
    <w:rsid w:val="00A33E4A"/>
    <w:rsid w:val="00A34D40"/>
    <w:rsid w:val="00A34E0A"/>
    <w:rsid w:val="00A35E28"/>
    <w:rsid w:val="00A36086"/>
    <w:rsid w:val="00A36660"/>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5D3E"/>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37D"/>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BEE"/>
    <w:rsid w:val="00A91D0E"/>
    <w:rsid w:val="00A930E9"/>
    <w:rsid w:val="00A932AF"/>
    <w:rsid w:val="00A93398"/>
    <w:rsid w:val="00A94031"/>
    <w:rsid w:val="00A9473E"/>
    <w:rsid w:val="00A94CF8"/>
    <w:rsid w:val="00A950B4"/>
    <w:rsid w:val="00A9571F"/>
    <w:rsid w:val="00A95DC5"/>
    <w:rsid w:val="00A96360"/>
    <w:rsid w:val="00A963DA"/>
    <w:rsid w:val="00A968BE"/>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502F"/>
    <w:rsid w:val="00AA59D3"/>
    <w:rsid w:val="00AA611F"/>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85E"/>
    <w:rsid w:val="00AB5B6D"/>
    <w:rsid w:val="00AB6015"/>
    <w:rsid w:val="00AB63F6"/>
    <w:rsid w:val="00AB6593"/>
    <w:rsid w:val="00AB6A6C"/>
    <w:rsid w:val="00AB6DF8"/>
    <w:rsid w:val="00AB7539"/>
    <w:rsid w:val="00AB77DC"/>
    <w:rsid w:val="00AB7B4F"/>
    <w:rsid w:val="00AC0314"/>
    <w:rsid w:val="00AC04AC"/>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D75"/>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2630"/>
    <w:rsid w:val="00B032C9"/>
    <w:rsid w:val="00B0337A"/>
    <w:rsid w:val="00B04469"/>
    <w:rsid w:val="00B04503"/>
    <w:rsid w:val="00B051C0"/>
    <w:rsid w:val="00B0520C"/>
    <w:rsid w:val="00B0562E"/>
    <w:rsid w:val="00B058D3"/>
    <w:rsid w:val="00B0624A"/>
    <w:rsid w:val="00B06912"/>
    <w:rsid w:val="00B074DA"/>
    <w:rsid w:val="00B07558"/>
    <w:rsid w:val="00B076E9"/>
    <w:rsid w:val="00B10114"/>
    <w:rsid w:val="00B1036F"/>
    <w:rsid w:val="00B1076F"/>
    <w:rsid w:val="00B10EBC"/>
    <w:rsid w:val="00B12C3B"/>
    <w:rsid w:val="00B12CB3"/>
    <w:rsid w:val="00B12EF7"/>
    <w:rsid w:val="00B13108"/>
    <w:rsid w:val="00B1388E"/>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94D"/>
    <w:rsid w:val="00B24B8F"/>
    <w:rsid w:val="00B24CD8"/>
    <w:rsid w:val="00B250FD"/>
    <w:rsid w:val="00B2598F"/>
    <w:rsid w:val="00B25B26"/>
    <w:rsid w:val="00B26088"/>
    <w:rsid w:val="00B2681C"/>
    <w:rsid w:val="00B27364"/>
    <w:rsid w:val="00B273A8"/>
    <w:rsid w:val="00B27992"/>
    <w:rsid w:val="00B3014E"/>
    <w:rsid w:val="00B3072D"/>
    <w:rsid w:val="00B30B75"/>
    <w:rsid w:val="00B30D92"/>
    <w:rsid w:val="00B30FAF"/>
    <w:rsid w:val="00B32391"/>
    <w:rsid w:val="00B32467"/>
    <w:rsid w:val="00B325F5"/>
    <w:rsid w:val="00B32B1A"/>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15C"/>
    <w:rsid w:val="00B416A3"/>
    <w:rsid w:val="00B41E15"/>
    <w:rsid w:val="00B42710"/>
    <w:rsid w:val="00B42914"/>
    <w:rsid w:val="00B43174"/>
    <w:rsid w:val="00B432B3"/>
    <w:rsid w:val="00B4397A"/>
    <w:rsid w:val="00B43CC6"/>
    <w:rsid w:val="00B45857"/>
    <w:rsid w:val="00B45E3F"/>
    <w:rsid w:val="00B45F80"/>
    <w:rsid w:val="00B464B3"/>
    <w:rsid w:val="00B471C4"/>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4C3"/>
    <w:rsid w:val="00B60547"/>
    <w:rsid w:val="00B605DF"/>
    <w:rsid w:val="00B608DB"/>
    <w:rsid w:val="00B60F97"/>
    <w:rsid w:val="00B60FD5"/>
    <w:rsid w:val="00B61629"/>
    <w:rsid w:val="00B61D56"/>
    <w:rsid w:val="00B6315E"/>
    <w:rsid w:val="00B63617"/>
    <w:rsid w:val="00B637A4"/>
    <w:rsid w:val="00B6425D"/>
    <w:rsid w:val="00B647A3"/>
    <w:rsid w:val="00B64CB1"/>
    <w:rsid w:val="00B64F92"/>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773"/>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5F49"/>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97B2A"/>
    <w:rsid w:val="00BA0940"/>
    <w:rsid w:val="00BA1A30"/>
    <w:rsid w:val="00BA2621"/>
    <w:rsid w:val="00BA267A"/>
    <w:rsid w:val="00BA3057"/>
    <w:rsid w:val="00BA3A0E"/>
    <w:rsid w:val="00BA3D0B"/>
    <w:rsid w:val="00BA4A51"/>
    <w:rsid w:val="00BA4AF6"/>
    <w:rsid w:val="00BA54E3"/>
    <w:rsid w:val="00BA571E"/>
    <w:rsid w:val="00BA5A0C"/>
    <w:rsid w:val="00BA650E"/>
    <w:rsid w:val="00BA6A5A"/>
    <w:rsid w:val="00BA6CE2"/>
    <w:rsid w:val="00BA6E9D"/>
    <w:rsid w:val="00BA75B4"/>
    <w:rsid w:val="00BA7BE0"/>
    <w:rsid w:val="00BB0244"/>
    <w:rsid w:val="00BB137B"/>
    <w:rsid w:val="00BB1F4F"/>
    <w:rsid w:val="00BB308A"/>
    <w:rsid w:val="00BB3744"/>
    <w:rsid w:val="00BB3C1A"/>
    <w:rsid w:val="00BB417F"/>
    <w:rsid w:val="00BB444F"/>
    <w:rsid w:val="00BB4764"/>
    <w:rsid w:val="00BB4917"/>
    <w:rsid w:val="00BB53C0"/>
    <w:rsid w:val="00BB53C4"/>
    <w:rsid w:val="00BB563F"/>
    <w:rsid w:val="00BB69E5"/>
    <w:rsid w:val="00BB6A0E"/>
    <w:rsid w:val="00BB6B48"/>
    <w:rsid w:val="00BB6EA0"/>
    <w:rsid w:val="00BB7280"/>
    <w:rsid w:val="00BB7474"/>
    <w:rsid w:val="00BB747A"/>
    <w:rsid w:val="00BB7497"/>
    <w:rsid w:val="00BB750C"/>
    <w:rsid w:val="00BB7BD7"/>
    <w:rsid w:val="00BC020F"/>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1DA8"/>
    <w:rsid w:val="00BD215F"/>
    <w:rsid w:val="00BD24E3"/>
    <w:rsid w:val="00BD2853"/>
    <w:rsid w:val="00BD28B0"/>
    <w:rsid w:val="00BD33B2"/>
    <w:rsid w:val="00BD4462"/>
    <w:rsid w:val="00BD4DE2"/>
    <w:rsid w:val="00BD6006"/>
    <w:rsid w:val="00BD66EA"/>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81A"/>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6C3"/>
    <w:rsid w:val="00C20C78"/>
    <w:rsid w:val="00C215D0"/>
    <w:rsid w:val="00C21F32"/>
    <w:rsid w:val="00C22294"/>
    <w:rsid w:val="00C228AD"/>
    <w:rsid w:val="00C232F1"/>
    <w:rsid w:val="00C23485"/>
    <w:rsid w:val="00C23C48"/>
    <w:rsid w:val="00C24028"/>
    <w:rsid w:val="00C244F9"/>
    <w:rsid w:val="00C24A6B"/>
    <w:rsid w:val="00C251B5"/>
    <w:rsid w:val="00C2617F"/>
    <w:rsid w:val="00C2653E"/>
    <w:rsid w:val="00C26B8C"/>
    <w:rsid w:val="00C27490"/>
    <w:rsid w:val="00C27509"/>
    <w:rsid w:val="00C27DD9"/>
    <w:rsid w:val="00C3000A"/>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97C"/>
    <w:rsid w:val="00C41A1D"/>
    <w:rsid w:val="00C41AA0"/>
    <w:rsid w:val="00C42505"/>
    <w:rsid w:val="00C42DF0"/>
    <w:rsid w:val="00C42ED0"/>
    <w:rsid w:val="00C43373"/>
    <w:rsid w:val="00C4356A"/>
    <w:rsid w:val="00C43CDE"/>
    <w:rsid w:val="00C44184"/>
    <w:rsid w:val="00C446B4"/>
    <w:rsid w:val="00C44D97"/>
    <w:rsid w:val="00C45CFA"/>
    <w:rsid w:val="00C45E6D"/>
    <w:rsid w:val="00C4699F"/>
    <w:rsid w:val="00C47044"/>
    <w:rsid w:val="00C47B87"/>
    <w:rsid w:val="00C47F78"/>
    <w:rsid w:val="00C50936"/>
    <w:rsid w:val="00C511E0"/>
    <w:rsid w:val="00C52045"/>
    <w:rsid w:val="00C538D5"/>
    <w:rsid w:val="00C53A87"/>
    <w:rsid w:val="00C53AFD"/>
    <w:rsid w:val="00C53D48"/>
    <w:rsid w:val="00C53E69"/>
    <w:rsid w:val="00C543CC"/>
    <w:rsid w:val="00C54940"/>
    <w:rsid w:val="00C551A9"/>
    <w:rsid w:val="00C55311"/>
    <w:rsid w:val="00C55529"/>
    <w:rsid w:val="00C56034"/>
    <w:rsid w:val="00C5618B"/>
    <w:rsid w:val="00C56A74"/>
    <w:rsid w:val="00C56C0A"/>
    <w:rsid w:val="00C57126"/>
    <w:rsid w:val="00C5714A"/>
    <w:rsid w:val="00C57D8A"/>
    <w:rsid w:val="00C60EAF"/>
    <w:rsid w:val="00C61567"/>
    <w:rsid w:val="00C62546"/>
    <w:rsid w:val="00C6289D"/>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339"/>
    <w:rsid w:val="00C753CF"/>
    <w:rsid w:val="00C75B14"/>
    <w:rsid w:val="00C75CAA"/>
    <w:rsid w:val="00C76ACB"/>
    <w:rsid w:val="00C777BC"/>
    <w:rsid w:val="00C7791B"/>
    <w:rsid w:val="00C7793E"/>
    <w:rsid w:val="00C779B3"/>
    <w:rsid w:val="00C80084"/>
    <w:rsid w:val="00C8017E"/>
    <w:rsid w:val="00C80395"/>
    <w:rsid w:val="00C8049E"/>
    <w:rsid w:val="00C81083"/>
    <w:rsid w:val="00C810BC"/>
    <w:rsid w:val="00C81597"/>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87FE6"/>
    <w:rsid w:val="00C90A67"/>
    <w:rsid w:val="00C918EE"/>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0FE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0DB"/>
    <w:rsid w:val="00CB414B"/>
    <w:rsid w:val="00CB4AC8"/>
    <w:rsid w:val="00CB4F47"/>
    <w:rsid w:val="00CB5269"/>
    <w:rsid w:val="00CB5FC3"/>
    <w:rsid w:val="00CB657A"/>
    <w:rsid w:val="00CB7354"/>
    <w:rsid w:val="00CB7374"/>
    <w:rsid w:val="00CB79AA"/>
    <w:rsid w:val="00CB7DB8"/>
    <w:rsid w:val="00CB7FF6"/>
    <w:rsid w:val="00CC0312"/>
    <w:rsid w:val="00CC0768"/>
    <w:rsid w:val="00CC0A69"/>
    <w:rsid w:val="00CC109A"/>
    <w:rsid w:val="00CC1534"/>
    <w:rsid w:val="00CC18C9"/>
    <w:rsid w:val="00CC1C23"/>
    <w:rsid w:val="00CC2073"/>
    <w:rsid w:val="00CC2673"/>
    <w:rsid w:val="00CC27A1"/>
    <w:rsid w:val="00CC29CE"/>
    <w:rsid w:val="00CC2EC6"/>
    <w:rsid w:val="00CC3E47"/>
    <w:rsid w:val="00CC3F6E"/>
    <w:rsid w:val="00CC410A"/>
    <w:rsid w:val="00CC423C"/>
    <w:rsid w:val="00CC4358"/>
    <w:rsid w:val="00CC4E0F"/>
    <w:rsid w:val="00CC5693"/>
    <w:rsid w:val="00CC5B79"/>
    <w:rsid w:val="00CC5DFD"/>
    <w:rsid w:val="00CC62A8"/>
    <w:rsid w:val="00CC6844"/>
    <w:rsid w:val="00CC7705"/>
    <w:rsid w:val="00CC7BE5"/>
    <w:rsid w:val="00CC7C74"/>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498"/>
    <w:rsid w:val="00CD59B9"/>
    <w:rsid w:val="00CD66F3"/>
    <w:rsid w:val="00CD67C6"/>
    <w:rsid w:val="00CD6D0F"/>
    <w:rsid w:val="00CD6D6B"/>
    <w:rsid w:val="00CD6F5B"/>
    <w:rsid w:val="00CD7318"/>
    <w:rsid w:val="00CD743A"/>
    <w:rsid w:val="00CD74C4"/>
    <w:rsid w:val="00CD79C3"/>
    <w:rsid w:val="00CD7C69"/>
    <w:rsid w:val="00CE00D2"/>
    <w:rsid w:val="00CE0105"/>
    <w:rsid w:val="00CE083C"/>
    <w:rsid w:val="00CE0AAA"/>
    <w:rsid w:val="00CE0ED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51E"/>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7F3"/>
    <w:rsid w:val="00CF6AD3"/>
    <w:rsid w:val="00CF7537"/>
    <w:rsid w:val="00CF7C58"/>
    <w:rsid w:val="00D01289"/>
    <w:rsid w:val="00D017CD"/>
    <w:rsid w:val="00D01BE0"/>
    <w:rsid w:val="00D02598"/>
    <w:rsid w:val="00D02C34"/>
    <w:rsid w:val="00D03251"/>
    <w:rsid w:val="00D039ED"/>
    <w:rsid w:val="00D03B14"/>
    <w:rsid w:val="00D03BEA"/>
    <w:rsid w:val="00D04CD2"/>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17878"/>
    <w:rsid w:val="00D20A79"/>
    <w:rsid w:val="00D2117A"/>
    <w:rsid w:val="00D214A6"/>
    <w:rsid w:val="00D21563"/>
    <w:rsid w:val="00D239BA"/>
    <w:rsid w:val="00D243C8"/>
    <w:rsid w:val="00D24CE2"/>
    <w:rsid w:val="00D24E74"/>
    <w:rsid w:val="00D24F11"/>
    <w:rsid w:val="00D26EE3"/>
    <w:rsid w:val="00D2719E"/>
    <w:rsid w:val="00D279CE"/>
    <w:rsid w:val="00D27A5F"/>
    <w:rsid w:val="00D27B3D"/>
    <w:rsid w:val="00D3051E"/>
    <w:rsid w:val="00D30965"/>
    <w:rsid w:val="00D313D0"/>
    <w:rsid w:val="00D31E2E"/>
    <w:rsid w:val="00D32097"/>
    <w:rsid w:val="00D3243E"/>
    <w:rsid w:val="00D33009"/>
    <w:rsid w:val="00D3303B"/>
    <w:rsid w:val="00D3343F"/>
    <w:rsid w:val="00D33ACD"/>
    <w:rsid w:val="00D33CD0"/>
    <w:rsid w:val="00D345C3"/>
    <w:rsid w:val="00D348E4"/>
    <w:rsid w:val="00D35BDE"/>
    <w:rsid w:val="00D36A2A"/>
    <w:rsid w:val="00D37E5E"/>
    <w:rsid w:val="00D4063E"/>
    <w:rsid w:val="00D40DAB"/>
    <w:rsid w:val="00D4100F"/>
    <w:rsid w:val="00D42814"/>
    <w:rsid w:val="00D42A9C"/>
    <w:rsid w:val="00D42B18"/>
    <w:rsid w:val="00D43106"/>
    <w:rsid w:val="00D43742"/>
    <w:rsid w:val="00D439A6"/>
    <w:rsid w:val="00D4467A"/>
    <w:rsid w:val="00D448E6"/>
    <w:rsid w:val="00D45363"/>
    <w:rsid w:val="00D45367"/>
    <w:rsid w:val="00D457F7"/>
    <w:rsid w:val="00D45E1A"/>
    <w:rsid w:val="00D45FFA"/>
    <w:rsid w:val="00D46D7B"/>
    <w:rsid w:val="00D474D9"/>
    <w:rsid w:val="00D475E4"/>
    <w:rsid w:val="00D477C5"/>
    <w:rsid w:val="00D500CF"/>
    <w:rsid w:val="00D50256"/>
    <w:rsid w:val="00D50474"/>
    <w:rsid w:val="00D50E3C"/>
    <w:rsid w:val="00D51077"/>
    <w:rsid w:val="00D511F9"/>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594"/>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758"/>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A77DA"/>
    <w:rsid w:val="00DB102D"/>
    <w:rsid w:val="00DB11AA"/>
    <w:rsid w:val="00DB14D9"/>
    <w:rsid w:val="00DB16F1"/>
    <w:rsid w:val="00DB1F24"/>
    <w:rsid w:val="00DB20BE"/>
    <w:rsid w:val="00DB28FF"/>
    <w:rsid w:val="00DB2F20"/>
    <w:rsid w:val="00DB31EE"/>
    <w:rsid w:val="00DB3288"/>
    <w:rsid w:val="00DB3B85"/>
    <w:rsid w:val="00DB3F69"/>
    <w:rsid w:val="00DB5580"/>
    <w:rsid w:val="00DB6072"/>
    <w:rsid w:val="00DB6FDD"/>
    <w:rsid w:val="00DB70B4"/>
    <w:rsid w:val="00DC0665"/>
    <w:rsid w:val="00DC09C8"/>
    <w:rsid w:val="00DC15D0"/>
    <w:rsid w:val="00DC1896"/>
    <w:rsid w:val="00DC19D1"/>
    <w:rsid w:val="00DC1D4C"/>
    <w:rsid w:val="00DC2314"/>
    <w:rsid w:val="00DC2E14"/>
    <w:rsid w:val="00DC3F52"/>
    <w:rsid w:val="00DC4A9D"/>
    <w:rsid w:val="00DC4E80"/>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DF7E63"/>
    <w:rsid w:val="00E007C7"/>
    <w:rsid w:val="00E009AC"/>
    <w:rsid w:val="00E010AA"/>
    <w:rsid w:val="00E016D7"/>
    <w:rsid w:val="00E02349"/>
    <w:rsid w:val="00E02D47"/>
    <w:rsid w:val="00E052E0"/>
    <w:rsid w:val="00E05B60"/>
    <w:rsid w:val="00E063DF"/>
    <w:rsid w:val="00E069AF"/>
    <w:rsid w:val="00E07A07"/>
    <w:rsid w:val="00E100BC"/>
    <w:rsid w:val="00E107D9"/>
    <w:rsid w:val="00E10A0F"/>
    <w:rsid w:val="00E10B6A"/>
    <w:rsid w:val="00E10B86"/>
    <w:rsid w:val="00E11059"/>
    <w:rsid w:val="00E11BD7"/>
    <w:rsid w:val="00E11D4C"/>
    <w:rsid w:val="00E12F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8CD"/>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20F3"/>
    <w:rsid w:val="00E3309A"/>
    <w:rsid w:val="00E3384C"/>
    <w:rsid w:val="00E34E86"/>
    <w:rsid w:val="00E353EA"/>
    <w:rsid w:val="00E35478"/>
    <w:rsid w:val="00E359CA"/>
    <w:rsid w:val="00E35AE8"/>
    <w:rsid w:val="00E36145"/>
    <w:rsid w:val="00E3673D"/>
    <w:rsid w:val="00E369F6"/>
    <w:rsid w:val="00E377B9"/>
    <w:rsid w:val="00E40049"/>
    <w:rsid w:val="00E41835"/>
    <w:rsid w:val="00E42776"/>
    <w:rsid w:val="00E4454D"/>
    <w:rsid w:val="00E44BBA"/>
    <w:rsid w:val="00E45231"/>
    <w:rsid w:val="00E45DD4"/>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ADE"/>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818"/>
    <w:rsid w:val="00E64E85"/>
    <w:rsid w:val="00E65EE0"/>
    <w:rsid w:val="00E66160"/>
    <w:rsid w:val="00E66865"/>
    <w:rsid w:val="00E66F30"/>
    <w:rsid w:val="00E6712F"/>
    <w:rsid w:val="00E67478"/>
    <w:rsid w:val="00E67F31"/>
    <w:rsid w:val="00E702F6"/>
    <w:rsid w:val="00E70DE5"/>
    <w:rsid w:val="00E70EC9"/>
    <w:rsid w:val="00E7163B"/>
    <w:rsid w:val="00E71855"/>
    <w:rsid w:val="00E71E31"/>
    <w:rsid w:val="00E725B1"/>
    <w:rsid w:val="00E72DE5"/>
    <w:rsid w:val="00E73012"/>
    <w:rsid w:val="00E73949"/>
    <w:rsid w:val="00E74CC1"/>
    <w:rsid w:val="00E74E4C"/>
    <w:rsid w:val="00E75A73"/>
    <w:rsid w:val="00E75AF8"/>
    <w:rsid w:val="00E769AD"/>
    <w:rsid w:val="00E76B97"/>
    <w:rsid w:val="00E76C10"/>
    <w:rsid w:val="00E777F8"/>
    <w:rsid w:val="00E803D9"/>
    <w:rsid w:val="00E815BE"/>
    <w:rsid w:val="00E81D4E"/>
    <w:rsid w:val="00E8333F"/>
    <w:rsid w:val="00E83839"/>
    <w:rsid w:val="00E83A40"/>
    <w:rsid w:val="00E83CBE"/>
    <w:rsid w:val="00E83E26"/>
    <w:rsid w:val="00E8421C"/>
    <w:rsid w:val="00E84296"/>
    <w:rsid w:val="00E84360"/>
    <w:rsid w:val="00E84B03"/>
    <w:rsid w:val="00E85791"/>
    <w:rsid w:val="00E8741B"/>
    <w:rsid w:val="00E87AA9"/>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0D4"/>
    <w:rsid w:val="00EA0256"/>
    <w:rsid w:val="00EA0E61"/>
    <w:rsid w:val="00EA1043"/>
    <w:rsid w:val="00EA135B"/>
    <w:rsid w:val="00EA156A"/>
    <w:rsid w:val="00EA15EC"/>
    <w:rsid w:val="00EA1AA0"/>
    <w:rsid w:val="00EA1E56"/>
    <w:rsid w:val="00EA2847"/>
    <w:rsid w:val="00EA2C52"/>
    <w:rsid w:val="00EA2E9C"/>
    <w:rsid w:val="00EA31A5"/>
    <w:rsid w:val="00EA3265"/>
    <w:rsid w:val="00EA39E8"/>
    <w:rsid w:val="00EA3E4E"/>
    <w:rsid w:val="00EA3EAB"/>
    <w:rsid w:val="00EA4551"/>
    <w:rsid w:val="00EA4766"/>
    <w:rsid w:val="00EA4B34"/>
    <w:rsid w:val="00EA5B44"/>
    <w:rsid w:val="00EA633E"/>
    <w:rsid w:val="00EA6345"/>
    <w:rsid w:val="00EA6792"/>
    <w:rsid w:val="00EA680C"/>
    <w:rsid w:val="00EA6C38"/>
    <w:rsid w:val="00EA76B8"/>
    <w:rsid w:val="00EA773E"/>
    <w:rsid w:val="00EA7A3F"/>
    <w:rsid w:val="00EA7A98"/>
    <w:rsid w:val="00EA7FA0"/>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348"/>
    <w:rsid w:val="00EC1B2D"/>
    <w:rsid w:val="00EC1D3E"/>
    <w:rsid w:val="00EC1E1B"/>
    <w:rsid w:val="00EC2504"/>
    <w:rsid w:val="00EC317B"/>
    <w:rsid w:val="00EC4AF7"/>
    <w:rsid w:val="00EC4BE7"/>
    <w:rsid w:val="00EC500C"/>
    <w:rsid w:val="00EC5455"/>
    <w:rsid w:val="00EC5C48"/>
    <w:rsid w:val="00EC60F2"/>
    <w:rsid w:val="00EC61A5"/>
    <w:rsid w:val="00EC68D6"/>
    <w:rsid w:val="00EC6925"/>
    <w:rsid w:val="00EC782F"/>
    <w:rsid w:val="00EC792E"/>
    <w:rsid w:val="00EC7B9A"/>
    <w:rsid w:val="00EC7D22"/>
    <w:rsid w:val="00ED0053"/>
    <w:rsid w:val="00ED00DE"/>
    <w:rsid w:val="00ED048F"/>
    <w:rsid w:val="00ED0898"/>
    <w:rsid w:val="00ED0A8D"/>
    <w:rsid w:val="00ED0B58"/>
    <w:rsid w:val="00ED11E5"/>
    <w:rsid w:val="00ED17C0"/>
    <w:rsid w:val="00ED1EBB"/>
    <w:rsid w:val="00ED2006"/>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2AC"/>
    <w:rsid w:val="00EF1728"/>
    <w:rsid w:val="00EF1DC5"/>
    <w:rsid w:val="00EF21E2"/>
    <w:rsid w:val="00EF2C8E"/>
    <w:rsid w:val="00EF2D06"/>
    <w:rsid w:val="00EF2E76"/>
    <w:rsid w:val="00EF2F98"/>
    <w:rsid w:val="00EF2FD2"/>
    <w:rsid w:val="00EF393C"/>
    <w:rsid w:val="00EF3BDE"/>
    <w:rsid w:val="00EF3EF0"/>
    <w:rsid w:val="00EF3F85"/>
    <w:rsid w:val="00EF4107"/>
    <w:rsid w:val="00EF4FCA"/>
    <w:rsid w:val="00EF55E5"/>
    <w:rsid w:val="00EF57AE"/>
    <w:rsid w:val="00EF692D"/>
    <w:rsid w:val="00EF6A09"/>
    <w:rsid w:val="00EF6CCC"/>
    <w:rsid w:val="00EF72A1"/>
    <w:rsid w:val="00EF72FE"/>
    <w:rsid w:val="00EF738B"/>
    <w:rsid w:val="00EF772E"/>
    <w:rsid w:val="00F001B6"/>
    <w:rsid w:val="00F006E8"/>
    <w:rsid w:val="00F00B2C"/>
    <w:rsid w:val="00F01548"/>
    <w:rsid w:val="00F01772"/>
    <w:rsid w:val="00F01774"/>
    <w:rsid w:val="00F01D83"/>
    <w:rsid w:val="00F01FD0"/>
    <w:rsid w:val="00F03854"/>
    <w:rsid w:val="00F0387E"/>
    <w:rsid w:val="00F03B43"/>
    <w:rsid w:val="00F040F9"/>
    <w:rsid w:val="00F049C4"/>
    <w:rsid w:val="00F051EE"/>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6DD9"/>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904"/>
    <w:rsid w:val="00F34BD1"/>
    <w:rsid w:val="00F34D6F"/>
    <w:rsid w:val="00F35109"/>
    <w:rsid w:val="00F35F91"/>
    <w:rsid w:val="00F35FA3"/>
    <w:rsid w:val="00F36B5A"/>
    <w:rsid w:val="00F36FA7"/>
    <w:rsid w:val="00F370D1"/>
    <w:rsid w:val="00F400EB"/>
    <w:rsid w:val="00F40587"/>
    <w:rsid w:val="00F40874"/>
    <w:rsid w:val="00F40A4B"/>
    <w:rsid w:val="00F420BE"/>
    <w:rsid w:val="00F42374"/>
    <w:rsid w:val="00F437AC"/>
    <w:rsid w:val="00F43AE5"/>
    <w:rsid w:val="00F44E93"/>
    <w:rsid w:val="00F45325"/>
    <w:rsid w:val="00F45E58"/>
    <w:rsid w:val="00F46173"/>
    <w:rsid w:val="00F46511"/>
    <w:rsid w:val="00F467AA"/>
    <w:rsid w:val="00F46E4E"/>
    <w:rsid w:val="00F47ABE"/>
    <w:rsid w:val="00F50EF1"/>
    <w:rsid w:val="00F5135C"/>
    <w:rsid w:val="00F51840"/>
    <w:rsid w:val="00F51F59"/>
    <w:rsid w:val="00F5250E"/>
    <w:rsid w:val="00F52669"/>
    <w:rsid w:val="00F52AA1"/>
    <w:rsid w:val="00F52ECF"/>
    <w:rsid w:val="00F53548"/>
    <w:rsid w:val="00F5403E"/>
    <w:rsid w:val="00F5478F"/>
    <w:rsid w:val="00F55089"/>
    <w:rsid w:val="00F56272"/>
    <w:rsid w:val="00F56484"/>
    <w:rsid w:val="00F5684A"/>
    <w:rsid w:val="00F56C05"/>
    <w:rsid w:val="00F56E59"/>
    <w:rsid w:val="00F57717"/>
    <w:rsid w:val="00F57B44"/>
    <w:rsid w:val="00F600B0"/>
    <w:rsid w:val="00F61161"/>
    <w:rsid w:val="00F6182E"/>
    <w:rsid w:val="00F62214"/>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589"/>
    <w:rsid w:val="00F67972"/>
    <w:rsid w:val="00F67C23"/>
    <w:rsid w:val="00F70310"/>
    <w:rsid w:val="00F70F9C"/>
    <w:rsid w:val="00F71912"/>
    <w:rsid w:val="00F721D3"/>
    <w:rsid w:val="00F7234A"/>
    <w:rsid w:val="00F7264A"/>
    <w:rsid w:val="00F72BD6"/>
    <w:rsid w:val="00F72C30"/>
    <w:rsid w:val="00F72D8A"/>
    <w:rsid w:val="00F73181"/>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49BE"/>
    <w:rsid w:val="00F8523F"/>
    <w:rsid w:val="00F8573F"/>
    <w:rsid w:val="00F85B2C"/>
    <w:rsid w:val="00F85DC0"/>
    <w:rsid w:val="00F85FDF"/>
    <w:rsid w:val="00F8646E"/>
    <w:rsid w:val="00F8669C"/>
    <w:rsid w:val="00F866FB"/>
    <w:rsid w:val="00F86A21"/>
    <w:rsid w:val="00F86A9E"/>
    <w:rsid w:val="00F86D5C"/>
    <w:rsid w:val="00F876A6"/>
    <w:rsid w:val="00F8777C"/>
    <w:rsid w:val="00F90170"/>
    <w:rsid w:val="00F901D6"/>
    <w:rsid w:val="00F902CB"/>
    <w:rsid w:val="00F90424"/>
    <w:rsid w:val="00F90D2E"/>
    <w:rsid w:val="00F912AC"/>
    <w:rsid w:val="00F91530"/>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1DA4"/>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D33"/>
    <w:rsid w:val="00FC1D4F"/>
    <w:rsid w:val="00FC2045"/>
    <w:rsid w:val="00FC26E3"/>
    <w:rsid w:val="00FC28D7"/>
    <w:rsid w:val="00FC2BA3"/>
    <w:rsid w:val="00FC33F8"/>
    <w:rsid w:val="00FC4126"/>
    <w:rsid w:val="00FC49F8"/>
    <w:rsid w:val="00FC4C2E"/>
    <w:rsid w:val="00FC5672"/>
    <w:rsid w:val="00FC66FC"/>
    <w:rsid w:val="00FC6C75"/>
    <w:rsid w:val="00FC718B"/>
    <w:rsid w:val="00FC71D7"/>
    <w:rsid w:val="00FC79E0"/>
    <w:rsid w:val="00FC7BDE"/>
    <w:rsid w:val="00FD0D5B"/>
    <w:rsid w:val="00FD1195"/>
    <w:rsid w:val="00FD194D"/>
    <w:rsid w:val="00FD204F"/>
    <w:rsid w:val="00FD20C1"/>
    <w:rsid w:val="00FD2879"/>
    <w:rsid w:val="00FD29A2"/>
    <w:rsid w:val="00FD30C2"/>
    <w:rsid w:val="00FD3250"/>
    <w:rsid w:val="00FD33B5"/>
    <w:rsid w:val="00FD3B17"/>
    <w:rsid w:val="00FD3BD9"/>
    <w:rsid w:val="00FD3C06"/>
    <w:rsid w:val="00FD402B"/>
    <w:rsid w:val="00FD4172"/>
    <w:rsid w:val="00FD4599"/>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38B8"/>
    <w:rsid w:val="00FF3C05"/>
    <w:rsid w:val="00FF4116"/>
    <w:rsid w:val="00FF4697"/>
    <w:rsid w:val="00FF4ADC"/>
    <w:rsid w:val="00FF4D8E"/>
    <w:rsid w:val="00FF51CF"/>
    <w:rsid w:val="00FF563D"/>
    <w:rsid w:val="00FF56D7"/>
    <w:rsid w:val="00FF5B4C"/>
    <w:rsid w:val="00FF5D2A"/>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styleId="PlainTable3">
    <w:name w:val="Plain Table 3"/>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LGTdoc">
    <w:name w:val="LGTdoc_본문"/>
    <w:basedOn w:val="Normal"/>
    <w:link w:val="LGTdocChar"/>
    <w:qFormat/>
    <w:rsid w:val="00BB747A"/>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BB747A"/>
    <w:rPr>
      <w:kern w:val="2"/>
      <w:sz w:val="22"/>
      <w:szCs w:val="24"/>
      <w:lang w:val="en-GB"/>
    </w:rPr>
  </w:style>
  <w:style w:type="character" w:customStyle="1" w:styleId="TALChar">
    <w:name w:val="TAL Char"/>
    <w:link w:val="TAL"/>
    <w:rsid w:val="00CF67F3"/>
    <w:rPr>
      <w:rFonts w:ascii="Arial" w:eastAsia="Times New Roman" w:hAnsi="Arial"/>
      <w:sz w:val="18"/>
      <w:lang w:val="en-GB" w:eastAsia="ja-JP"/>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B24CD8"/>
    <w:rPr>
      <w:rFonts w:eastAsia="Malgun Gothic"/>
      <w:b/>
      <w:bCs/>
      <w:sz w:val="22"/>
      <w:lang w:val="en-GB" w:eastAsia="en-US"/>
    </w:rPr>
  </w:style>
  <w:style w:type="paragraph" w:customStyle="1" w:styleId="tal0">
    <w:name w:val="tal"/>
    <w:basedOn w:val="Normal"/>
    <w:rsid w:val="00B24CD8"/>
    <w:pPr>
      <w:keepNext/>
      <w:spacing w:after="0"/>
    </w:pPr>
    <w:rPr>
      <w:rFonts w:ascii="Arial" w:eastAsia="Gulim" w:hAnsi="Arial" w:cs="Arial"/>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48106610">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7331124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dirty="0" smtClean="0"/>
              <a:t>Avg. UPT</a:t>
            </a:r>
            <a:endParaRPr lang="en-US" sz="1200" dirty="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RSRP</c:v>
                </c:pt>
              </c:strCache>
            </c:strRef>
          </c:tx>
          <c:spPr>
            <a:solidFill>
              <a:schemeClr val="accent1"/>
            </a:solidFill>
            <a:ln>
              <a:noFill/>
            </a:ln>
            <a:effectLst/>
          </c:spPr>
          <c:invertIfNegative val="0"/>
          <c:cat>
            <c:strRef>
              <c:f>Sheet1!$A$2</c:f>
              <c:strCache>
                <c:ptCount val="1"/>
                <c:pt idx="0">
                  <c:v>Avg. UPT</c:v>
                </c:pt>
              </c:strCache>
            </c:strRef>
          </c:cat>
          <c:val>
            <c:numRef>
              <c:f>Sheet1!$B$2</c:f>
              <c:numCache>
                <c:formatCode>General</c:formatCode>
                <c:ptCount val="1"/>
                <c:pt idx="0">
                  <c:v>1</c:v>
                </c:pt>
              </c:numCache>
            </c:numRef>
          </c:val>
          <c:extLst>
            <c:ext xmlns:c16="http://schemas.microsoft.com/office/drawing/2014/chart" uri="{C3380CC4-5D6E-409C-BE32-E72D297353CC}">
              <c16:uniqueId val="{00000000-7D69-4C26-8724-8312DC7616F9}"/>
            </c:ext>
          </c:extLst>
        </c:ser>
        <c:ser>
          <c:idx val="1"/>
          <c:order val="1"/>
          <c:tx>
            <c:strRef>
              <c:f>Sheet1!$C$1</c:f>
              <c:strCache>
                <c:ptCount val="1"/>
                <c:pt idx="0">
                  <c:v>215 SINR,ZP,d1</c:v>
                </c:pt>
              </c:strCache>
            </c:strRef>
          </c:tx>
          <c:spPr>
            <a:solidFill>
              <a:schemeClr val="accent2"/>
            </a:solidFill>
            <a:ln>
              <a:noFill/>
            </a:ln>
            <a:effectLst/>
          </c:spPr>
          <c:invertIfNegative val="0"/>
          <c:cat>
            <c:strRef>
              <c:f>Sheet1!$A$2</c:f>
              <c:strCache>
                <c:ptCount val="1"/>
                <c:pt idx="0">
                  <c:v>Avg. UPT</c:v>
                </c:pt>
              </c:strCache>
            </c:strRef>
          </c:cat>
          <c:val>
            <c:numRef>
              <c:f>Sheet1!$C$2</c:f>
              <c:numCache>
                <c:formatCode>General</c:formatCode>
                <c:ptCount val="1"/>
                <c:pt idx="0">
                  <c:v>0.97860898661567874</c:v>
                </c:pt>
              </c:numCache>
            </c:numRef>
          </c:val>
          <c:extLst>
            <c:ext xmlns:c16="http://schemas.microsoft.com/office/drawing/2014/chart" uri="{C3380CC4-5D6E-409C-BE32-E72D297353CC}">
              <c16:uniqueId val="{00000001-7D69-4C26-8724-8312DC7616F9}"/>
            </c:ext>
          </c:extLst>
        </c:ser>
        <c:ser>
          <c:idx val="2"/>
          <c:order val="2"/>
          <c:tx>
            <c:strRef>
              <c:f>Sheet1!$D$1</c:f>
              <c:strCache>
                <c:ptCount val="1"/>
                <c:pt idx="0">
                  <c:v>215 SINR,ZP,d3</c:v>
                </c:pt>
              </c:strCache>
            </c:strRef>
          </c:tx>
          <c:spPr>
            <a:solidFill>
              <a:schemeClr val="accent3"/>
            </a:solidFill>
            <a:ln>
              <a:noFill/>
            </a:ln>
            <a:effectLst/>
          </c:spPr>
          <c:invertIfNegative val="0"/>
          <c:cat>
            <c:strRef>
              <c:f>Sheet1!$A$2</c:f>
              <c:strCache>
                <c:ptCount val="1"/>
                <c:pt idx="0">
                  <c:v>Avg. UPT</c:v>
                </c:pt>
              </c:strCache>
            </c:strRef>
          </c:cat>
          <c:val>
            <c:numRef>
              <c:f>Sheet1!$D$2</c:f>
              <c:numCache>
                <c:formatCode>General</c:formatCode>
                <c:ptCount val="1"/>
                <c:pt idx="0">
                  <c:v>0.98402815715196201</c:v>
                </c:pt>
              </c:numCache>
            </c:numRef>
          </c:val>
          <c:extLst>
            <c:ext xmlns:c16="http://schemas.microsoft.com/office/drawing/2014/chart" uri="{C3380CC4-5D6E-409C-BE32-E72D297353CC}">
              <c16:uniqueId val="{00000002-7D69-4C26-8724-8312DC7616F9}"/>
            </c:ext>
          </c:extLst>
        </c:ser>
        <c:ser>
          <c:idx val="3"/>
          <c:order val="3"/>
          <c:tx>
            <c:strRef>
              <c:f>Sheet1!$E$1</c:f>
              <c:strCache>
                <c:ptCount val="1"/>
                <c:pt idx="0">
                  <c:v>Wt-SINR,ZP,d1</c:v>
                </c:pt>
              </c:strCache>
            </c:strRef>
          </c:tx>
          <c:spPr>
            <a:solidFill>
              <a:schemeClr val="accent4"/>
            </a:solidFill>
            <a:ln>
              <a:noFill/>
            </a:ln>
            <a:effectLst/>
          </c:spPr>
          <c:invertIfNegative val="0"/>
          <c:cat>
            <c:strRef>
              <c:f>Sheet1!$A$2</c:f>
              <c:strCache>
                <c:ptCount val="1"/>
                <c:pt idx="0">
                  <c:v>Avg. UPT</c:v>
                </c:pt>
              </c:strCache>
            </c:strRef>
          </c:cat>
          <c:val>
            <c:numRef>
              <c:f>Sheet1!$E$2</c:f>
              <c:numCache>
                <c:formatCode>General</c:formatCode>
                <c:ptCount val="1"/>
                <c:pt idx="0">
                  <c:v>1.0559273422562141</c:v>
                </c:pt>
              </c:numCache>
            </c:numRef>
          </c:val>
          <c:extLst>
            <c:ext xmlns:c16="http://schemas.microsoft.com/office/drawing/2014/chart" uri="{C3380CC4-5D6E-409C-BE32-E72D297353CC}">
              <c16:uniqueId val="{00000003-7D69-4C26-8724-8312DC7616F9}"/>
            </c:ext>
          </c:extLst>
        </c:ser>
        <c:ser>
          <c:idx val="4"/>
          <c:order val="4"/>
          <c:tx>
            <c:strRef>
              <c:f>Sheet1!$F$1</c:f>
              <c:strCache>
                <c:ptCount val="1"/>
                <c:pt idx="0">
                  <c:v>Wt-SINR,ZP,d3</c:v>
                </c:pt>
              </c:strCache>
            </c:strRef>
          </c:tx>
          <c:spPr>
            <a:solidFill>
              <a:schemeClr val="accent5"/>
            </a:solidFill>
            <a:ln>
              <a:noFill/>
            </a:ln>
            <a:effectLst/>
          </c:spPr>
          <c:invertIfNegative val="0"/>
          <c:cat>
            <c:strRef>
              <c:f>Sheet1!$A$2</c:f>
              <c:strCache>
                <c:ptCount val="1"/>
                <c:pt idx="0">
                  <c:v>Avg. UPT</c:v>
                </c:pt>
              </c:strCache>
            </c:strRef>
          </c:cat>
          <c:val>
            <c:numRef>
              <c:f>Sheet1!$F$2</c:f>
              <c:numCache>
                <c:formatCode>General</c:formatCode>
                <c:ptCount val="1"/>
                <c:pt idx="0">
                  <c:v>1.0705806701265592</c:v>
                </c:pt>
              </c:numCache>
            </c:numRef>
          </c:val>
          <c:extLst>
            <c:ext xmlns:c16="http://schemas.microsoft.com/office/drawing/2014/chart" uri="{C3380CC4-5D6E-409C-BE32-E72D297353CC}">
              <c16:uniqueId val="{00000004-7D69-4C26-8724-8312DC7616F9}"/>
            </c:ext>
          </c:extLst>
        </c:ser>
        <c:ser>
          <c:idx val="5"/>
          <c:order val="5"/>
          <c:tx>
            <c:strRef>
              <c:f>Sheet1!$G$1</c:f>
              <c:strCache>
                <c:ptCount val="1"/>
                <c:pt idx="0">
                  <c:v>215 SINR,NZP,d1</c:v>
                </c:pt>
              </c:strCache>
            </c:strRef>
          </c:tx>
          <c:spPr>
            <a:solidFill>
              <a:schemeClr val="accent6"/>
            </a:solidFill>
            <a:ln>
              <a:noFill/>
            </a:ln>
            <a:effectLst/>
          </c:spPr>
          <c:invertIfNegative val="0"/>
          <c:cat>
            <c:strRef>
              <c:f>Sheet1!$A$2</c:f>
              <c:strCache>
                <c:ptCount val="1"/>
                <c:pt idx="0">
                  <c:v>Avg. UPT</c:v>
                </c:pt>
              </c:strCache>
            </c:strRef>
          </c:cat>
          <c:val>
            <c:numRef>
              <c:f>Sheet1!$G$2</c:f>
              <c:numCache>
                <c:formatCode>General</c:formatCode>
                <c:ptCount val="1"/>
                <c:pt idx="0">
                  <c:v>0.95231835564053535</c:v>
                </c:pt>
              </c:numCache>
            </c:numRef>
          </c:val>
          <c:extLst>
            <c:ext xmlns:c16="http://schemas.microsoft.com/office/drawing/2014/chart" uri="{C3380CC4-5D6E-409C-BE32-E72D297353CC}">
              <c16:uniqueId val="{00000005-7D69-4C26-8724-8312DC7616F9}"/>
            </c:ext>
          </c:extLst>
        </c:ser>
        <c:ser>
          <c:idx val="6"/>
          <c:order val="6"/>
          <c:tx>
            <c:strRef>
              <c:f>Sheet1!$H$1</c:f>
              <c:strCache>
                <c:ptCount val="1"/>
                <c:pt idx="0">
                  <c:v>215 SINR,NZP,d3</c:v>
                </c:pt>
              </c:strCache>
            </c:strRef>
          </c:tx>
          <c:spPr>
            <a:solidFill>
              <a:schemeClr val="accent1">
                <a:lumMod val="60000"/>
              </a:schemeClr>
            </a:solidFill>
            <a:ln>
              <a:noFill/>
            </a:ln>
            <a:effectLst/>
          </c:spPr>
          <c:invertIfNegative val="0"/>
          <c:cat>
            <c:strRef>
              <c:f>Sheet1!$A$2</c:f>
              <c:strCache>
                <c:ptCount val="1"/>
                <c:pt idx="0">
                  <c:v>Avg. UPT</c:v>
                </c:pt>
              </c:strCache>
            </c:strRef>
          </c:cat>
          <c:val>
            <c:numRef>
              <c:f>Sheet1!$H$2</c:f>
              <c:numCache>
                <c:formatCode>General</c:formatCode>
                <c:ptCount val="1"/>
                <c:pt idx="0">
                  <c:v>0.97127179504689076</c:v>
                </c:pt>
              </c:numCache>
            </c:numRef>
          </c:val>
          <c:extLst>
            <c:ext xmlns:c16="http://schemas.microsoft.com/office/drawing/2014/chart" uri="{C3380CC4-5D6E-409C-BE32-E72D297353CC}">
              <c16:uniqueId val="{00000006-7D69-4C26-8724-8312DC7616F9}"/>
            </c:ext>
          </c:extLst>
        </c:ser>
        <c:ser>
          <c:idx val="7"/>
          <c:order val="7"/>
          <c:tx>
            <c:strRef>
              <c:f>Sheet1!$I$1</c:f>
              <c:strCache>
                <c:ptCount val="1"/>
                <c:pt idx="0">
                  <c:v>Wt-SINR,NZP,d1</c:v>
                </c:pt>
              </c:strCache>
            </c:strRef>
          </c:tx>
          <c:spPr>
            <a:solidFill>
              <a:schemeClr val="accent2">
                <a:lumMod val="60000"/>
              </a:schemeClr>
            </a:solidFill>
            <a:ln>
              <a:noFill/>
            </a:ln>
            <a:effectLst/>
          </c:spPr>
          <c:invertIfNegative val="0"/>
          <c:cat>
            <c:strRef>
              <c:f>Sheet1!$A$2</c:f>
              <c:strCache>
                <c:ptCount val="1"/>
                <c:pt idx="0">
                  <c:v>Avg. UPT</c:v>
                </c:pt>
              </c:strCache>
            </c:strRef>
          </c:cat>
          <c:val>
            <c:numRef>
              <c:f>Sheet1!$I$2</c:f>
              <c:numCache>
                <c:formatCode>General</c:formatCode>
                <c:ptCount val="1"/>
                <c:pt idx="0">
                  <c:v>1.0427820267686425</c:v>
                </c:pt>
              </c:numCache>
            </c:numRef>
          </c:val>
          <c:extLst>
            <c:ext xmlns:c16="http://schemas.microsoft.com/office/drawing/2014/chart" uri="{C3380CC4-5D6E-409C-BE32-E72D297353CC}">
              <c16:uniqueId val="{00000007-7D69-4C26-8724-8312DC7616F9}"/>
            </c:ext>
          </c:extLst>
        </c:ser>
        <c:ser>
          <c:idx val="8"/>
          <c:order val="8"/>
          <c:tx>
            <c:strRef>
              <c:f>Sheet1!$J$1</c:f>
              <c:strCache>
                <c:ptCount val="1"/>
                <c:pt idx="0">
                  <c:v>Wt-SINR,NZP,d3</c:v>
                </c:pt>
              </c:strCache>
            </c:strRef>
          </c:tx>
          <c:spPr>
            <a:solidFill>
              <a:schemeClr val="accent3">
                <a:lumMod val="60000"/>
              </a:schemeClr>
            </a:solidFill>
            <a:ln>
              <a:noFill/>
            </a:ln>
            <a:effectLst/>
          </c:spPr>
          <c:invertIfNegative val="0"/>
          <c:cat>
            <c:strRef>
              <c:f>Sheet1!$A$2</c:f>
              <c:strCache>
                <c:ptCount val="1"/>
                <c:pt idx="0">
                  <c:v>Avg. UPT</c:v>
                </c:pt>
              </c:strCache>
            </c:strRef>
          </c:cat>
          <c:val>
            <c:numRef>
              <c:f>Sheet1!$J$2</c:f>
              <c:numCache>
                <c:formatCode>General</c:formatCode>
                <c:ptCount val="1"/>
                <c:pt idx="0">
                  <c:v>1.0537708845488483</c:v>
                </c:pt>
              </c:numCache>
            </c:numRef>
          </c:val>
          <c:extLst>
            <c:ext xmlns:c16="http://schemas.microsoft.com/office/drawing/2014/chart" uri="{C3380CC4-5D6E-409C-BE32-E72D297353CC}">
              <c16:uniqueId val="{00000008-7D69-4C26-8724-8312DC7616F9}"/>
            </c:ext>
          </c:extLst>
        </c:ser>
        <c:dLbls>
          <c:showLegendKey val="0"/>
          <c:showVal val="0"/>
          <c:showCatName val="0"/>
          <c:showSerName val="0"/>
          <c:showPercent val="0"/>
          <c:showBubbleSize val="0"/>
        </c:dLbls>
        <c:gapWidth val="219"/>
        <c:overlap val="-27"/>
        <c:axId val="514158952"/>
        <c:axId val="514159608"/>
      </c:barChart>
      <c:catAx>
        <c:axId val="5141589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514159608"/>
        <c:crosses val="autoZero"/>
        <c:auto val="1"/>
        <c:lblAlgn val="ctr"/>
        <c:lblOffset val="100"/>
        <c:noMultiLvlLbl val="0"/>
      </c:catAx>
      <c:valAx>
        <c:axId val="514159608"/>
        <c:scaling>
          <c:orientation val="minMax"/>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5141589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dirty="0" smtClean="0"/>
              <a:t>5% UPT</a:t>
            </a:r>
            <a:endParaRPr lang="en-US" sz="1200" dirty="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RSRP</c:v>
                </c:pt>
              </c:strCache>
            </c:strRef>
          </c:tx>
          <c:spPr>
            <a:solidFill>
              <a:schemeClr val="accent1"/>
            </a:solidFill>
            <a:ln>
              <a:noFill/>
            </a:ln>
            <a:effectLst/>
          </c:spPr>
          <c:invertIfNegative val="0"/>
          <c:cat>
            <c:strRef>
              <c:f>Sheet1!$A$2</c:f>
              <c:strCache>
                <c:ptCount val="1"/>
                <c:pt idx="0">
                  <c:v>5% UPT</c:v>
                </c:pt>
              </c:strCache>
            </c:strRef>
          </c:cat>
          <c:val>
            <c:numRef>
              <c:f>Sheet1!$B$2</c:f>
              <c:numCache>
                <c:formatCode>General</c:formatCode>
                <c:ptCount val="1"/>
                <c:pt idx="0">
                  <c:v>1</c:v>
                </c:pt>
              </c:numCache>
            </c:numRef>
          </c:val>
          <c:extLst>
            <c:ext xmlns:c16="http://schemas.microsoft.com/office/drawing/2014/chart" uri="{C3380CC4-5D6E-409C-BE32-E72D297353CC}">
              <c16:uniqueId val="{00000000-4FE7-41D1-9B9E-5692B02A668F}"/>
            </c:ext>
          </c:extLst>
        </c:ser>
        <c:ser>
          <c:idx val="1"/>
          <c:order val="1"/>
          <c:tx>
            <c:strRef>
              <c:f>Sheet1!$C$1</c:f>
              <c:strCache>
                <c:ptCount val="1"/>
                <c:pt idx="0">
                  <c:v>215 SINR,ZP,d1</c:v>
                </c:pt>
              </c:strCache>
            </c:strRef>
          </c:tx>
          <c:spPr>
            <a:solidFill>
              <a:schemeClr val="accent2"/>
            </a:solidFill>
            <a:ln>
              <a:noFill/>
            </a:ln>
            <a:effectLst/>
          </c:spPr>
          <c:invertIfNegative val="0"/>
          <c:cat>
            <c:strRef>
              <c:f>Sheet1!$A$2</c:f>
              <c:strCache>
                <c:ptCount val="1"/>
                <c:pt idx="0">
                  <c:v>5% UPT</c:v>
                </c:pt>
              </c:strCache>
            </c:strRef>
          </c:cat>
          <c:val>
            <c:numRef>
              <c:f>Sheet1!$C$2</c:f>
              <c:numCache>
                <c:formatCode>General</c:formatCode>
                <c:ptCount val="1"/>
                <c:pt idx="0">
                  <c:v>0.7777777777777779</c:v>
                </c:pt>
              </c:numCache>
            </c:numRef>
          </c:val>
          <c:extLst>
            <c:ext xmlns:c16="http://schemas.microsoft.com/office/drawing/2014/chart" uri="{C3380CC4-5D6E-409C-BE32-E72D297353CC}">
              <c16:uniqueId val="{00000001-4FE7-41D1-9B9E-5692B02A668F}"/>
            </c:ext>
          </c:extLst>
        </c:ser>
        <c:ser>
          <c:idx val="2"/>
          <c:order val="2"/>
          <c:tx>
            <c:strRef>
              <c:f>Sheet1!$D$1</c:f>
              <c:strCache>
                <c:ptCount val="1"/>
                <c:pt idx="0">
                  <c:v>215 SINR,ZP,d3</c:v>
                </c:pt>
              </c:strCache>
            </c:strRef>
          </c:tx>
          <c:spPr>
            <a:solidFill>
              <a:schemeClr val="accent3"/>
            </a:solidFill>
            <a:ln>
              <a:noFill/>
            </a:ln>
            <a:effectLst/>
          </c:spPr>
          <c:invertIfNegative val="0"/>
          <c:cat>
            <c:strRef>
              <c:f>Sheet1!$A$2</c:f>
              <c:strCache>
                <c:ptCount val="1"/>
                <c:pt idx="0">
                  <c:v>5% UPT</c:v>
                </c:pt>
              </c:strCache>
            </c:strRef>
          </c:cat>
          <c:val>
            <c:numRef>
              <c:f>Sheet1!$D$2</c:f>
              <c:numCache>
                <c:formatCode>General</c:formatCode>
                <c:ptCount val="1"/>
                <c:pt idx="0">
                  <c:v>0.66507936507936516</c:v>
                </c:pt>
              </c:numCache>
            </c:numRef>
          </c:val>
          <c:extLst>
            <c:ext xmlns:c16="http://schemas.microsoft.com/office/drawing/2014/chart" uri="{C3380CC4-5D6E-409C-BE32-E72D297353CC}">
              <c16:uniqueId val="{00000002-4FE7-41D1-9B9E-5692B02A668F}"/>
            </c:ext>
          </c:extLst>
        </c:ser>
        <c:ser>
          <c:idx val="3"/>
          <c:order val="3"/>
          <c:tx>
            <c:strRef>
              <c:f>Sheet1!$E$1</c:f>
              <c:strCache>
                <c:ptCount val="1"/>
                <c:pt idx="0">
                  <c:v>Wt-SINR,ZP,d1</c:v>
                </c:pt>
              </c:strCache>
            </c:strRef>
          </c:tx>
          <c:spPr>
            <a:solidFill>
              <a:schemeClr val="accent4"/>
            </a:solidFill>
            <a:ln>
              <a:noFill/>
            </a:ln>
            <a:effectLst/>
          </c:spPr>
          <c:invertIfNegative val="0"/>
          <c:cat>
            <c:strRef>
              <c:f>Sheet1!$A$2</c:f>
              <c:strCache>
                <c:ptCount val="1"/>
                <c:pt idx="0">
                  <c:v>5% UPT</c:v>
                </c:pt>
              </c:strCache>
            </c:strRef>
          </c:cat>
          <c:val>
            <c:numRef>
              <c:f>Sheet1!$E$2</c:f>
              <c:numCache>
                <c:formatCode>General</c:formatCode>
                <c:ptCount val="1"/>
                <c:pt idx="0">
                  <c:v>2.3333333333333335</c:v>
                </c:pt>
              </c:numCache>
            </c:numRef>
          </c:val>
          <c:extLst>
            <c:ext xmlns:c16="http://schemas.microsoft.com/office/drawing/2014/chart" uri="{C3380CC4-5D6E-409C-BE32-E72D297353CC}">
              <c16:uniqueId val="{00000003-4FE7-41D1-9B9E-5692B02A668F}"/>
            </c:ext>
          </c:extLst>
        </c:ser>
        <c:ser>
          <c:idx val="4"/>
          <c:order val="4"/>
          <c:tx>
            <c:strRef>
              <c:f>Sheet1!$F$1</c:f>
              <c:strCache>
                <c:ptCount val="1"/>
                <c:pt idx="0">
                  <c:v>Wt-SINR,ZP,d3</c:v>
                </c:pt>
              </c:strCache>
            </c:strRef>
          </c:tx>
          <c:spPr>
            <a:solidFill>
              <a:schemeClr val="accent5"/>
            </a:solidFill>
            <a:ln>
              <a:noFill/>
            </a:ln>
            <a:effectLst/>
          </c:spPr>
          <c:invertIfNegative val="0"/>
          <c:cat>
            <c:strRef>
              <c:f>Sheet1!$A$2</c:f>
              <c:strCache>
                <c:ptCount val="1"/>
                <c:pt idx="0">
                  <c:v>5% UPT</c:v>
                </c:pt>
              </c:strCache>
            </c:strRef>
          </c:cat>
          <c:val>
            <c:numRef>
              <c:f>Sheet1!$F$2</c:f>
              <c:numCache>
                <c:formatCode>General</c:formatCode>
                <c:ptCount val="1"/>
                <c:pt idx="0">
                  <c:v>2.8820105820105821</c:v>
                </c:pt>
              </c:numCache>
            </c:numRef>
          </c:val>
          <c:extLst>
            <c:ext xmlns:c16="http://schemas.microsoft.com/office/drawing/2014/chart" uri="{C3380CC4-5D6E-409C-BE32-E72D297353CC}">
              <c16:uniqueId val="{00000004-4FE7-41D1-9B9E-5692B02A668F}"/>
            </c:ext>
          </c:extLst>
        </c:ser>
        <c:ser>
          <c:idx val="5"/>
          <c:order val="5"/>
          <c:tx>
            <c:strRef>
              <c:f>Sheet1!$G$1</c:f>
              <c:strCache>
                <c:ptCount val="1"/>
                <c:pt idx="0">
                  <c:v>215 SINR,NZP,d1</c:v>
                </c:pt>
              </c:strCache>
            </c:strRef>
          </c:tx>
          <c:spPr>
            <a:solidFill>
              <a:schemeClr val="accent6"/>
            </a:solidFill>
            <a:ln>
              <a:noFill/>
            </a:ln>
            <a:effectLst/>
          </c:spPr>
          <c:invertIfNegative val="0"/>
          <c:cat>
            <c:strRef>
              <c:f>Sheet1!$A$2</c:f>
              <c:strCache>
                <c:ptCount val="1"/>
                <c:pt idx="0">
                  <c:v>5% UPT</c:v>
                </c:pt>
              </c:strCache>
            </c:strRef>
          </c:cat>
          <c:val>
            <c:numRef>
              <c:f>Sheet1!$G$2</c:f>
              <c:numCache>
                <c:formatCode>General</c:formatCode>
                <c:ptCount val="1"/>
                <c:pt idx="0">
                  <c:v>1</c:v>
                </c:pt>
              </c:numCache>
            </c:numRef>
          </c:val>
          <c:extLst>
            <c:ext xmlns:c16="http://schemas.microsoft.com/office/drawing/2014/chart" uri="{C3380CC4-5D6E-409C-BE32-E72D297353CC}">
              <c16:uniqueId val="{00000005-4FE7-41D1-9B9E-5692B02A668F}"/>
            </c:ext>
          </c:extLst>
        </c:ser>
        <c:ser>
          <c:idx val="6"/>
          <c:order val="6"/>
          <c:tx>
            <c:strRef>
              <c:f>Sheet1!$H$1</c:f>
              <c:strCache>
                <c:ptCount val="1"/>
                <c:pt idx="0">
                  <c:v>215 SINR,NZP,d3</c:v>
                </c:pt>
              </c:strCache>
            </c:strRef>
          </c:tx>
          <c:spPr>
            <a:solidFill>
              <a:schemeClr val="accent1">
                <a:lumMod val="60000"/>
              </a:schemeClr>
            </a:solidFill>
            <a:ln>
              <a:noFill/>
            </a:ln>
            <a:effectLst/>
          </c:spPr>
          <c:invertIfNegative val="0"/>
          <c:cat>
            <c:strRef>
              <c:f>Sheet1!$A$2</c:f>
              <c:strCache>
                <c:ptCount val="1"/>
                <c:pt idx="0">
                  <c:v>5% UPT</c:v>
                </c:pt>
              </c:strCache>
            </c:strRef>
          </c:cat>
          <c:val>
            <c:numRef>
              <c:f>Sheet1!$H$2</c:f>
              <c:numCache>
                <c:formatCode>General</c:formatCode>
                <c:ptCount val="1"/>
                <c:pt idx="0">
                  <c:v>1.1084656084656086</c:v>
                </c:pt>
              </c:numCache>
            </c:numRef>
          </c:val>
          <c:extLst>
            <c:ext xmlns:c16="http://schemas.microsoft.com/office/drawing/2014/chart" uri="{C3380CC4-5D6E-409C-BE32-E72D297353CC}">
              <c16:uniqueId val="{00000006-4FE7-41D1-9B9E-5692B02A668F}"/>
            </c:ext>
          </c:extLst>
        </c:ser>
        <c:ser>
          <c:idx val="7"/>
          <c:order val="7"/>
          <c:tx>
            <c:strRef>
              <c:f>Sheet1!$I$1</c:f>
              <c:strCache>
                <c:ptCount val="1"/>
                <c:pt idx="0">
                  <c:v>Wt-SINR,NZP,d1</c:v>
                </c:pt>
              </c:strCache>
            </c:strRef>
          </c:tx>
          <c:spPr>
            <a:solidFill>
              <a:schemeClr val="accent2">
                <a:lumMod val="60000"/>
              </a:schemeClr>
            </a:solidFill>
            <a:ln>
              <a:noFill/>
            </a:ln>
            <a:effectLst/>
          </c:spPr>
          <c:invertIfNegative val="0"/>
          <c:cat>
            <c:strRef>
              <c:f>Sheet1!$A$2</c:f>
              <c:strCache>
                <c:ptCount val="1"/>
                <c:pt idx="0">
                  <c:v>5% UPT</c:v>
                </c:pt>
              </c:strCache>
            </c:strRef>
          </c:cat>
          <c:val>
            <c:numRef>
              <c:f>Sheet1!$I$2</c:f>
              <c:numCache>
                <c:formatCode>General</c:formatCode>
                <c:ptCount val="1"/>
                <c:pt idx="0">
                  <c:v>2.4444444444444446</c:v>
                </c:pt>
              </c:numCache>
            </c:numRef>
          </c:val>
          <c:extLst>
            <c:ext xmlns:c16="http://schemas.microsoft.com/office/drawing/2014/chart" uri="{C3380CC4-5D6E-409C-BE32-E72D297353CC}">
              <c16:uniqueId val="{00000007-4FE7-41D1-9B9E-5692B02A668F}"/>
            </c:ext>
          </c:extLst>
        </c:ser>
        <c:ser>
          <c:idx val="8"/>
          <c:order val="8"/>
          <c:tx>
            <c:strRef>
              <c:f>Sheet1!$J$1</c:f>
              <c:strCache>
                <c:ptCount val="1"/>
                <c:pt idx="0">
                  <c:v>Wt-SINR,NZP,d3</c:v>
                </c:pt>
              </c:strCache>
            </c:strRef>
          </c:tx>
          <c:spPr>
            <a:solidFill>
              <a:schemeClr val="accent3">
                <a:lumMod val="60000"/>
              </a:schemeClr>
            </a:solidFill>
            <a:ln>
              <a:noFill/>
            </a:ln>
            <a:effectLst/>
          </c:spPr>
          <c:invertIfNegative val="0"/>
          <c:cat>
            <c:strRef>
              <c:f>Sheet1!$A$2</c:f>
              <c:strCache>
                <c:ptCount val="1"/>
                <c:pt idx="0">
                  <c:v>5% UPT</c:v>
                </c:pt>
              </c:strCache>
            </c:strRef>
          </c:cat>
          <c:val>
            <c:numRef>
              <c:f>Sheet1!$J$2</c:f>
              <c:numCache>
                <c:formatCode>General</c:formatCode>
                <c:ptCount val="1"/>
                <c:pt idx="0">
                  <c:v>2.3277777777777779</c:v>
                </c:pt>
              </c:numCache>
            </c:numRef>
          </c:val>
          <c:extLst>
            <c:ext xmlns:c16="http://schemas.microsoft.com/office/drawing/2014/chart" uri="{C3380CC4-5D6E-409C-BE32-E72D297353CC}">
              <c16:uniqueId val="{00000008-4FE7-41D1-9B9E-5692B02A668F}"/>
            </c:ext>
          </c:extLst>
        </c:ser>
        <c:dLbls>
          <c:showLegendKey val="0"/>
          <c:showVal val="0"/>
          <c:showCatName val="0"/>
          <c:showSerName val="0"/>
          <c:showPercent val="0"/>
          <c:showBubbleSize val="0"/>
        </c:dLbls>
        <c:gapWidth val="219"/>
        <c:overlap val="-27"/>
        <c:axId val="514158952"/>
        <c:axId val="514159608"/>
      </c:barChart>
      <c:catAx>
        <c:axId val="5141589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514159608"/>
        <c:crosses val="autoZero"/>
        <c:auto val="1"/>
        <c:lblAlgn val="ctr"/>
        <c:lblOffset val="100"/>
        <c:noMultiLvlLbl val="0"/>
      </c:catAx>
      <c:valAx>
        <c:axId val="514159608"/>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5141589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628F9-7B9C-4FA5-AA16-F477D4EE8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15583</TotalTime>
  <Pages>6</Pages>
  <Words>1699</Words>
  <Characters>9686</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Eko Onggosanusi</cp:lastModifiedBy>
  <cp:revision>326</cp:revision>
  <cp:lastPrinted>2017-03-24T06:34:00Z</cp:lastPrinted>
  <dcterms:created xsi:type="dcterms:W3CDTF">2018-08-10T16:01:00Z</dcterms:created>
  <dcterms:modified xsi:type="dcterms:W3CDTF">2019-05-02T07:03:00Z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